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23" w:type="dxa"/>
        <w:jc w:val="left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95"/>
        <w:gridCol w:w="6529"/>
        <w:gridCol w:w="1599"/>
      </w:tblGrid>
      <w:tr>
        <w:trPr>
          <w:trHeight w:val="1162" w:hRule="atLeast"/>
        </w:trPr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120" w:after="0"/>
              <w:jc w:val="center"/>
              <w:rPr>
                <w:rFonts w:eastAsia="Calibri"/>
                <w:lang w:eastAsia="en-US"/>
              </w:rPr>
            </w:pPr>
            <w:r>
              <w:rPr/>
              <w:drawing>
                <wp:inline distT="0" distB="0" distL="19050" distR="0">
                  <wp:extent cx="1047750" cy="561975"/>
                  <wp:effectExtent l="0" t="0" r="0" b="0"/>
                  <wp:docPr id="1" name="Grafik 2" descr="http://www.erlebnisbahn.at/strubel/bilder/z6/zeichz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2" descr="http://www.erlebnisbahn.at/strubel/bilder/z6/zeichz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SMBG</w:t>
            </w:r>
          </w:p>
        </w:tc>
        <w:tc>
          <w:tcPr>
            <w:tcW w:w="6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bidi w:val="0"/>
              <w:spacing w:before="120" w:after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Schmalspur Modulbaugruppe</w:t>
            </w:r>
          </w:p>
          <w:p>
            <w:pPr>
              <w:pStyle w:val="Normal"/>
              <w:rPr/>
            </w:pPr>
            <w:r>
              <w:rPr>
                <w:b w:val="false"/>
                <w:sz w:val="28"/>
                <w:szCs w:val="28"/>
              </w:rPr>
              <w:t xml:space="preserve">Modulhandbuch  </w:t>
            </w:r>
            <w:r>
              <w:rPr>
                <w:b w:val="false"/>
                <w:sz w:val="28"/>
                <w:szCs w:val="28"/>
              </w:rPr>
              <w:t>2.0</w:t>
            </w:r>
          </w:p>
          <w:p>
            <w:pPr>
              <w:pStyle w:val="Normal"/>
              <w:rPr/>
            </w:pPr>
            <w:r>
              <w:rPr/>
              <w:t>Fahrzeugumgrenzung</w:t>
            </w:r>
          </w:p>
        </w:tc>
        <w:tc>
          <w:tcPr>
            <w:tcW w:w="1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spacing w:before="120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Version 1.0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(3-2021)</w:t>
            </w:r>
          </w:p>
          <w:p>
            <w:pPr>
              <w:pStyle w:val="Normal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AVor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 w:val="false"/>
          <w:sz w:val="20"/>
          <w:szCs w:val="20"/>
        </w:rPr>
        <w:t>Auch für die Fahrzeugumgrenzung gibt es sowohl für Schmalspur als auch für Normalspur Vorgaben, die nicht überschritten werden dürften - theoretisch.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 w:val="20"/>
          <w:szCs w:val="20"/>
        </w:rPr>
        <w:t xml:space="preserve">Theorie: </w:t>
      </w:r>
    </w:p>
    <w:p>
      <w:pPr>
        <w:pStyle w:val="Normal"/>
        <w:jc w:val="both"/>
        <w:rPr/>
      </w:pPr>
      <w:r>
        <w:rPr>
          <w:b w:val="false"/>
          <w:sz w:val="20"/>
          <w:szCs w:val="20"/>
        </w:rPr>
        <w:t>Hier die maximal zulässigen Fahrzeugmaße:</w:t>
      </w:r>
    </w:p>
    <w:p>
      <w:pPr>
        <w:pStyle w:val="Normal"/>
        <w:jc w:val="both"/>
        <w:rPr/>
      </w:pPr>
      <w:r>
        <w:rPr/>
        <w:drawing>
          <wp:inline distT="0" distB="0" distL="19050" distR="9525">
            <wp:extent cx="5762625" cy="3171825"/>
            <wp:effectExtent l="0" t="0" r="0" b="0"/>
            <wp:docPr id="2" name="Bild 60" descr="Fahrzeugumgrenzung%20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60" descr="Fahrzeugumgrenzung%20mon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>
          <w:b w:val="false"/>
          <w:sz w:val="20"/>
          <w:szCs w:val="20"/>
        </w:rPr>
        <w:t>Die Breitenmaße gelten nur für zweiachsige Wagen; Drehgestellwagen müssen entsprechend schmäler gebaut werden.</w:t>
      </w:r>
    </w:p>
    <w:p>
      <w:pPr>
        <w:pStyle w:val="Normal"/>
        <w:jc w:val="both"/>
        <w:rPr/>
      </w:pPr>
      <w:r>
        <w:rPr>
          <w:b w:val="false"/>
          <w:sz w:val="20"/>
          <w:szCs w:val="20"/>
        </w:rPr>
        <w:t>Praxis:</w:t>
      </w:r>
    </w:p>
    <w:p>
      <w:pPr>
        <w:pStyle w:val="Normal"/>
        <w:jc w:val="both"/>
        <w:rPr/>
      </w:pPr>
      <w:r>
        <w:rPr>
          <w:b w:val="false"/>
          <w:sz w:val="20"/>
          <w:szCs w:val="20"/>
        </w:rPr>
        <w:t>Sehr viele Serienfahrzeuge überschreiten diese Maße leider, insbesondere im unteren Bereich (Anbauten bei E-</w:t>
      </w:r>
      <w:r>
        <w:rPr>
          <w:b w:val="false"/>
          <w:sz w:val="20"/>
          <w:szCs w:val="20"/>
        </w:rPr>
        <w:t>Lo</w:t>
      </w:r>
      <w:r>
        <w:rPr>
          <w:b w:val="false"/>
          <w:sz w:val="20"/>
          <w:szCs w:val="20"/>
        </w:rPr>
        <w:t>ks und Triebwagen, Zylinder bei Dampfloks</w:t>
      </w:r>
      <w:r>
        <w:rPr>
          <w:b w:val="false"/>
          <w:sz w:val="20"/>
          <w:szCs w:val="20"/>
        </w:rPr>
        <w:t xml:space="preserve">). </w:t>
      </w:r>
    </w:p>
    <w:p>
      <w:pPr>
        <w:pStyle w:val="Normal"/>
        <w:jc w:val="both"/>
        <w:rPr>
          <w:color w:val="729FCF"/>
        </w:rPr>
      </w:pPr>
      <w:r>
        <w:rPr>
          <w:b w:val="false"/>
          <w:color w:val="729FCF"/>
          <w:sz w:val="20"/>
          <w:szCs w:val="20"/>
        </w:rPr>
        <w:t>Da hier diese Übermaße kaum korrigiert werden können, hilft auch hier nur ausprobieren.</w:t>
      </w:r>
    </w:p>
    <w:p>
      <w:pPr>
        <w:pStyle w:val="Normal"/>
        <w:jc w:val="both"/>
        <w:rPr>
          <w:color w:val="729FCF"/>
        </w:rPr>
      </w:pPr>
      <w:r>
        <w:rPr>
          <w:b w:val="false"/>
          <w:color w:val="729FCF"/>
          <w:sz w:val="20"/>
          <w:szCs w:val="20"/>
        </w:rPr>
        <w:t>E</w:t>
      </w:r>
      <w:r>
        <w:rPr>
          <w:b w:val="false"/>
          <w:color w:val="729FCF"/>
          <w:sz w:val="20"/>
          <w:szCs w:val="20"/>
        </w:rPr>
        <w:t>igenbaufahrzeuge wird mal wohl meist maßstäblich anfertigen, dabei sollten die Maße naturgemäß innerhalb der Normgrenzen liegen.</w:t>
      </w:r>
    </w:p>
    <w:p>
      <w:pPr>
        <w:pStyle w:val="Normal"/>
        <w:jc w:val="both"/>
        <w:rPr>
          <w:color w:val="FF4000"/>
        </w:rPr>
      </w:pPr>
      <w:r>
        <w:rPr>
          <w:b w:val="false"/>
          <w:color w:val="FF4000"/>
          <w:sz w:val="20"/>
          <w:szCs w:val="20"/>
        </w:rPr>
        <w:t>Fahrzeuge, die obige Grenzen WESENTLICH überschreiten, können auf den Modulen der SMBG NICHT eingesetzt werden. Bei geringen Überschreitungen ist eine Probefahrt notwendig.</w:t>
      </w:r>
    </w:p>
    <w:p>
      <w:pPr>
        <w:pStyle w:val="Normal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964" w:header="0" w:top="225" w:footer="124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120" w:after="0"/>
      <w:rPr>
        <w:b w:val="false"/>
        <w:b w:val="false"/>
        <w:bCs w:val="false"/>
      </w:rPr>
    </w:pPr>
    <w:r>
      <w:rPr>
        <w:b w:val="false"/>
        <w:bCs w:val="false"/>
        <w:sz w:val="24"/>
        <w:lang w:val="de-AT"/>
      </w:rPr>
      <w:t xml:space="preserve">Seite </w:t>
    </w:r>
    <w:r>
      <w:rPr>
        <w:b w:val="false"/>
        <w:bCs w:val="false"/>
        <w:sz w:val="24"/>
        <w:lang w:val="de-AT"/>
      </w:rPr>
      <w:fldChar w:fldCharType="begin"/>
    </w:r>
    <w:r>
      <w:rPr>
        <w:sz w:val="24"/>
        <w:b w:val="false"/>
        <w:bCs w:val="false"/>
      </w:rPr>
      <w:instrText> PAGE </w:instrText>
    </w:r>
    <w:r>
      <w:rPr>
        <w:sz w:val="24"/>
        <w:b w:val="false"/>
        <w:bCs w:val="false"/>
      </w:rPr>
      <w:fldChar w:fldCharType="separate"/>
    </w:r>
    <w:r>
      <w:rPr>
        <w:sz w:val="24"/>
        <w:b w:val="false"/>
        <w:bCs w:val="false"/>
      </w:rPr>
      <w:t>1</w:t>
    </w:r>
    <w:r>
      <w:rPr>
        <w:sz w:val="24"/>
        <w:b w:val="false"/>
        <w:bCs w:val="false"/>
      </w:rPr>
      <w:fldChar w:fldCharType="end"/>
    </w:r>
  </w:p>
  <w:p>
    <w:pPr>
      <w:pStyle w:val="Fuzeile"/>
      <w:rPr>
        <w:lang w:val="de-AT"/>
      </w:rPr>
    </w:pPr>
    <w:r>
      <w:rPr>
        <w:lang w:val="de-AT"/>
      </w:rPr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AT" w:eastAsia="de-A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15b60"/>
    <w:pPr>
      <w:widowControl/>
      <w:suppressAutoHyphens w:val="false"/>
      <w:bidi w:val="0"/>
      <w:spacing w:before="120" w:after="0"/>
      <w:jc w:val="center"/>
    </w:pPr>
    <w:rPr>
      <w:rFonts w:ascii="Arial" w:hAnsi="Arial" w:cs="Arial" w:eastAsia="Times New Roman"/>
      <w:b/>
      <w:color w:val="auto"/>
      <w:kern w:val="0"/>
      <w:sz w:val="36"/>
      <w:szCs w:val="36"/>
      <w:lang w:val="de-DE" w:eastAsia="de-DE" w:bidi="ar-SA"/>
    </w:rPr>
  </w:style>
  <w:style w:type="paragraph" w:styleId="Berschrift1">
    <w:name w:val="Heading 1"/>
    <w:basedOn w:val="Normal"/>
    <w:next w:val="Normal"/>
    <w:qFormat/>
    <w:rsid w:val="00fb3dfb"/>
    <w:pPr>
      <w:keepNext w:val="true"/>
      <w:spacing w:before="240" w:after="60"/>
      <w:outlineLvl w:val="0"/>
    </w:pPr>
    <w:rPr>
      <w:bCs/>
      <w:kern w:val="2"/>
      <w:sz w:val="32"/>
      <w:szCs w:val="32"/>
    </w:rPr>
  </w:style>
  <w:style w:type="paragraph" w:styleId="Berschrift2">
    <w:name w:val="Heading 2"/>
    <w:basedOn w:val="Normal"/>
    <w:next w:val="Normal"/>
    <w:qFormat/>
    <w:rsid w:val="00846711"/>
    <w:pPr>
      <w:keepNext w:val="true"/>
      <w:spacing w:before="240" w:after="60"/>
      <w:outlineLvl w:val="1"/>
    </w:pPr>
    <w:rPr>
      <w:bCs/>
      <w:i/>
      <w:iCs/>
      <w:sz w:val="28"/>
      <w:szCs w:val="28"/>
    </w:rPr>
  </w:style>
  <w:style w:type="paragraph" w:styleId="Berschrift3">
    <w:name w:val="Heading 3"/>
    <w:basedOn w:val="Normal"/>
    <w:next w:val="Normal"/>
    <w:qFormat/>
    <w:rsid w:val="00fb3dfb"/>
    <w:pPr>
      <w:keepNext w:val="true"/>
      <w:spacing w:before="240" w:after="60"/>
      <w:outlineLvl w:val="2"/>
    </w:pPr>
    <w:rPr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919fc"/>
    <w:rPr/>
  </w:style>
  <w:style w:type="character" w:styleId="SprechblasentextZchn" w:customStyle="1">
    <w:name w:val="Sprechblasentext Zchn"/>
    <w:link w:val="Sprechblasentext"/>
    <w:qFormat/>
    <w:rsid w:val="00544f95"/>
    <w:rPr>
      <w:rFonts w:ascii="Tahoma" w:hAnsi="Tahoma" w:cs="Tahoma"/>
      <w:sz w:val="16"/>
      <w:szCs w:val="16"/>
    </w:rPr>
  </w:style>
  <w:style w:type="character" w:styleId="KopfzeileZchn" w:customStyle="1">
    <w:name w:val="Kopfzeile Zchn"/>
    <w:link w:val="Kopfzeile"/>
    <w:uiPriority w:val="99"/>
    <w:qFormat/>
    <w:rsid w:val="00bd205e"/>
    <w:rPr>
      <w:sz w:val="24"/>
      <w:szCs w:val="24"/>
    </w:rPr>
  </w:style>
  <w:style w:type="character" w:styleId="Annotationreference">
    <w:name w:val="annotation reference"/>
    <w:basedOn w:val="DefaultParagraphFont"/>
    <w:qFormat/>
    <w:rsid w:val="004f3554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qFormat/>
    <w:rsid w:val="004f3554"/>
    <w:rPr>
      <w:lang w:val="de-DE" w:eastAsia="de-DE"/>
    </w:rPr>
  </w:style>
  <w:style w:type="character" w:styleId="KommentarthemaZchn" w:customStyle="1">
    <w:name w:val="Kommentarthema Zchn"/>
    <w:basedOn w:val="KommentartextZchn"/>
    <w:link w:val="Kommentarthema"/>
    <w:qFormat/>
    <w:rsid w:val="004f3554"/>
    <w:rPr>
      <w:b/>
      <w:bCs/>
    </w:rPr>
  </w:style>
  <w:style w:type="character" w:styleId="Internetverknpfung">
    <w:name w:val="Internetverknüpfung"/>
    <w:basedOn w:val="DefaultParagraphFont"/>
    <w:rsid w:val="00f72099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vertAlign w:val="superscript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eastAsia="Times New Roman" w:cs="Times New Roman"/>
    </w:rPr>
  </w:style>
  <w:style w:type="character" w:styleId="ListLabel50">
    <w:name w:val="ListLabel 50"/>
    <w:qFormat/>
    <w:rPr>
      <w:rFonts w:eastAsia="Times New Roman" w:cs="Aria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eastAsia="Times New Roman" w:cs="Aria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zeile">
    <w:name w:val="Header"/>
    <w:basedOn w:val="Normal"/>
    <w:link w:val="KopfzeileZchn"/>
    <w:uiPriority w:val="99"/>
    <w:rsid w:val="00a919f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rsid w:val="00a919fc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3d53cb"/>
    <w:pPr>
      <w:ind w:left="708" w:hanging="0"/>
    </w:pPr>
    <w:rPr/>
  </w:style>
  <w:style w:type="paragraph" w:styleId="BalloonText">
    <w:name w:val="Balloon Text"/>
    <w:basedOn w:val="Normal"/>
    <w:link w:val="SprechblasentextZchn"/>
    <w:qFormat/>
    <w:rsid w:val="00544f9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03bfe"/>
    <w:pPr>
      <w:spacing w:beforeAutospacing="1" w:afterAutospacing="1"/>
    </w:pPr>
    <w:rPr/>
  </w:style>
  <w:style w:type="paragraph" w:styleId="Annotationtext">
    <w:name w:val="annotation text"/>
    <w:basedOn w:val="Normal"/>
    <w:link w:val="KommentartextZchn"/>
    <w:qFormat/>
    <w:rsid w:val="004f35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qFormat/>
    <w:rsid w:val="004f3554"/>
    <w:pPr/>
    <w:rPr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">
    <w:name w:val="Tabellenraster"/>
    <w:basedOn w:val="NormaleTabelle"/>
    <w:rsid w:val="0077437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FA77-DD7C-463E-95D8-46064DAF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LibreOffice/6.1.5.2$Windows_X86_64 LibreOffice_project/90f8dcf33c87b3705e78202e3df5142b201bd805</Application>
  <Pages>1</Pages>
  <Words>123</Words>
  <Characters>844</Characters>
  <CharactersWithSpaces>953</CharactersWithSpaces>
  <Paragraphs>19</Paragraphs>
  <Company>privat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2016-05-25T15:39:00Z</dcterms:created>
  <dc:creator>Michael Sengstschmid</dc:creator>
  <dc:description/>
  <dc:language>de-AT</dc:language>
  <cp:lastModifiedBy/>
  <cp:lastPrinted>2021-03-30T21:55:00Z</cp:lastPrinted>
  <dcterms:modified xsi:type="dcterms:W3CDTF">2021-03-30T21:55:16Z</dcterms:modified>
  <cp:revision>5</cp:revision>
  <dc:subject/>
  <dc:title>Modulsystem Modellbahngruppe Haag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Modelleisenbahn HOe</vt:lpwstr>
  </property>
</Properties>
</file>