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024" w:type="dxa"/>
        <w:jc w:val="left"/>
        <w:tblInd w:w="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CellMar>
          <w:top w:w="0" w:type="dxa"/>
          <w:left w:w="108" w:type="dxa"/>
          <w:bottom w:w="0" w:type="dxa"/>
          <w:right w:w="108" w:type="dxa"/>
        </w:tblCellMar>
        <w:tblLook w:val="04a0"/>
      </w:tblPr>
      <w:tblGrid>
        <w:gridCol w:w="1895"/>
        <w:gridCol w:w="6528"/>
        <w:gridCol w:w="1601"/>
      </w:tblGrid>
      <w:tr>
        <w:trPr>
          <w:trHeight w:val="1162" w:hRule="atLeast"/>
        </w:trPr>
        <w:tc>
          <w:tcPr>
            <w:tcW w:w="1895"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rFonts w:eastAsia="Calibri"/>
                <w:lang w:eastAsia="en-US"/>
              </w:rPr>
            </w:pPr>
            <w:r>
              <w:rPr/>
              <w:drawing>
                <wp:inline distT="0" distB="0" distL="0" distR="0">
                  <wp:extent cx="1047750" cy="561975"/>
                  <wp:effectExtent l="0" t="0" r="0" b="0"/>
                  <wp:docPr id="1" name="Grafik 2" descr="http://www.erlebnisbahn.at/strubel/bilder/z6/zeichz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http://www.erlebnisbahn.at/strubel/bilder/z6/zeichz6.jpg"/>
                          <pic:cNvPicPr>
                            <a:picLocks noChangeAspect="1" noChangeArrowheads="1"/>
                          </pic:cNvPicPr>
                        </pic:nvPicPr>
                        <pic:blipFill>
                          <a:blip r:embed="rId2"/>
                          <a:stretch>
                            <a:fillRect/>
                          </a:stretch>
                        </pic:blipFill>
                        <pic:spPr bwMode="auto">
                          <a:xfrm>
                            <a:off x="0" y="0"/>
                            <a:ext cx="1047750" cy="561975"/>
                          </a:xfrm>
                          <a:prstGeom prst="rect">
                            <a:avLst/>
                          </a:prstGeom>
                        </pic:spPr>
                      </pic:pic>
                    </a:graphicData>
                  </a:graphic>
                </wp:inline>
              </w:drawing>
            </w:r>
          </w:p>
          <w:p>
            <w:pPr>
              <w:pStyle w:val="Normal"/>
              <w:rPr>
                <w:rFonts w:eastAsia="Calibri"/>
                <w:lang w:eastAsia="en-US"/>
              </w:rPr>
            </w:pPr>
            <w:r>
              <w:rPr>
                <w:rFonts w:eastAsia="Calibri"/>
                <w:lang w:eastAsia="en-US"/>
              </w:rPr>
              <w:t>SMBG</w:t>
            </w:r>
          </w:p>
        </w:tc>
        <w:tc>
          <w:tcPr>
            <w:tcW w:w="6528"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widowControl/>
              <w:suppressAutoHyphens w:val="false"/>
              <w:bidi w:val="0"/>
              <w:spacing w:before="120" w:after="0"/>
              <w:jc w:val="center"/>
              <w:rPr>
                <w:b w:val="false"/>
                <w:b w:val="false"/>
                <w:sz w:val="28"/>
                <w:szCs w:val="28"/>
              </w:rPr>
            </w:pPr>
            <w:r>
              <w:rPr>
                <w:b w:val="false"/>
                <w:sz w:val="28"/>
                <w:szCs w:val="28"/>
              </w:rPr>
              <w:t>Schmalspur Modulbaugruppe</w:t>
            </w:r>
          </w:p>
          <w:p>
            <w:pPr>
              <w:pStyle w:val="Normal"/>
              <w:rPr/>
            </w:pPr>
            <w:r>
              <w:rPr>
                <w:b w:val="false"/>
                <w:sz w:val="28"/>
                <w:szCs w:val="28"/>
              </w:rPr>
              <w:t>Modulhandbuch  2.0</w:t>
            </w:r>
          </w:p>
          <w:p>
            <w:pPr>
              <w:pStyle w:val="Normal"/>
              <w:rPr/>
            </w:pPr>
            <w:r>
              <w:rPr/>
              <w:t>Lichtraumprofil</w:t>
            </w:r>
          </w:p>
        </w:tc>
        <w:tc>
          <w:tcPr>
            <w:tcW w:w="1601" w:type="dxa"/>
            <w:tc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cBorders>
            <w:shd w:fill="auto" w:val="clear"/>
          </w:tcPr>
          <w:p>
            <w:pPr>
              <w:pStyle w:val="Normal"/>
              <w:spacing w:before="120" w:after="0"/>
              <w:rPr/>
            </w:pPr>
            <w:r>
              <w:rPr>
                <w:b w:val="false"/>
                <w:bCs w:val="false"/>
                <w:sz w:val="24"/>
                <w:szCs w:val="24"/>
              </w:rPr>
              <w:t>Version 1.</w:t>
            </w:r>
            <w:r>
              <w:rPr>
                <w:b w:val="false"/>
                <w:bCs w:val="false"/>
                <w:sz w:val="24"/>
                <w:szCs w:val="24"/>
              </w:rPr>
              <w:t>1</w:t>
            </w:r>
          </w:p>
          <w:p>
            <w:pPr>
              <w:pStyle w:val="Normal"/>
              <w:rPr>
                <w:b w:val="false"/>
                <w:b w:val="false"/>
                <w:bCs w:val="false"/>
                <w:sz w:val="24"/>
                <w:szCs w:val="24"/>
              </w:rPr>
            </w:pPr>
            <w:r>
              <w:rPr>
                <w:b w:val="false"/>
                <w:bCs w:val="false"/>
                <w:sz w:val="24"/>
                <w:szCs w:val="24"/>
              </w:rPr>
              <w:t>(3-2021)</w:t>
            </w:r>
          </w:p>
          <w:p>
            <w:pPr>
              <w:pStyle w:val="Normal"/>
              <w:rPr>
                <w:b w:val="false"/>
                <w:b w:val="false"/>
                <w:bCs w:val="false"/>
                <w:sz w:val="24"/>
                <w:szCs w:val="24"/>
              </w:rPr>
            </w:pPr>
            <w:r>
              <w:rPr>
                <w:b w:val="false"/>
                <w:bCs w:val="false"/>
                <w:sz w:val="24"/>
                <w:szCs w:val="24"/>
              </w:rPr>
              <w:t>AVor</w:t>
            </w:r>
          </w:p>
          <w:p>
            <w:pPr>
              <w:pStyle w:val="Normal"/>
              <w:rPr/>
            </w:pPr>
            <w:r>
              <w:rPr/>
            </w:r>
          </w:p>
        </w:tc>
      </w:tr>
    </w:tbl>
    <w:p>
      <w:pPr>
        <w:pStyle w:val="Berschrift3"/>
        <w:rPr>
          <w:sz w:val="28"/>
          <w:szCs w:val="28"/>
        </w:rPr>
      </w:pPr>
      <w:r>
        <w:rPr/>
      </w:r>
    </w:p>
    <w:p>
      <w:pPr>
        <w:pStyle w:val="Normal"/>
        <w:jc w:val="both"/>
        <w:rPr/>
      </w:pPr>
      <w:r>
        <w:rPr>
          <w:sz w:val="20"/>
          <w:szCs w:val="20"/>
        </w:rPr>
        <w:t>Theorie:</w:t>
      </w:r>
    </w:p>
    <w:p>
      <w:pPr>
        <w:pStyle w:val="Normal"/>
        <w:jc w:val="both"/>
        <w:rPr>
          <w:b w:val="false"/>
          <w:b w:val="false"/>
          <w:bCs w:val="false"/>
        </w:rPr>
      </w:pPr>
      <w:r>
        <w:rPr>
          <w:b w:val="false"/>
          <w:bCs w:val="false"/>
          <w:sz w:val="20"/>
          <w:szCs w:val="20"/>
        </w:rPr>
        <w:t>Die Umgrenzung des lichten Raumes (NEM 104) stellt jenen Freiraum dar, in welches kein Objekt entlang der Gleise ragen darf, um die Fahrzeuge nicht zu gefährden. Bei Rollwagen- oder Rollbockbetrieb ist der Lichtraum für Normalspurbetrieb nach NEM 102 anzuwenden, wobei dieser aber höhenmäßig noch um die Ladehöhe (RH = 6,5 mm) der Rollfahrzeuge zu vergrößern ist.</w:t>
      </w:r>
    </w:p>
    <w:p>
      <w:pPr>
        <w:pStyle w:val="Normal"/>
        <w:jc w:val="both"/>
        <w:rPr>
          <w:sz w:val="20"/>
          <w:szCs w:val="20"/>
        </w:rPr>
      </w:pPr>
      <w:r>
        <w:rPr>
          <w:b w:val="false"/>
          <w:bCs w:val="false"/>
          <w:sz w:val="20"/>
          <w:szCs w:val="20"/>
        </w:rPr>
        <w:t>Die Breitenmaße des Lichtraumprofils gelten für das gerade Gleis. Im Bereich von Gleisbögen ist das Lichtraumprofil zur Bogenaußen- als auch zur Bogeninnenseite hin, in Abhängigkeit vom Bogenradius, als auch dem verwendetem Rollmaterial, um die Bogenerweiterung E zu erweitern.</w:t>
      </w:r>
    </w:p>
    <w:p>
      <w:pPr>
        <w:pStyle w:val="Normal"/>
        <w:rPr/>
      </w:pPr>
      <w:r>
        <w:rPr/>
      </w:r>
    </w:p>
    <w:p>
      <w:pPr>
        <w:pStyle w:val="Normal"/>
        <w:rPr/>
      </w:pPr>
      <w:r>
        <w:rPr/>
        <w:drawing>
          <wp:inline distT="0" distB="0" distL="0" distR="0">
            <wp:extent cx="3457575" cy="3228975"/>
            <wp:effectExtent l="0" t="0" r="0" b="0"/>
            <wp:docPr id="2" name="Bild 57" descr="Lichter%20Raum%20bei%20Schmalspurbahn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57" descr="Lichter%20Raum%20bei%20Schmalspurbahnen"/>
                    <pic:cNvPicPr>
                      <a:picLocks noChangeAspect="1" noChangeArrowheads="1"/>
                    </pic:cNvPicPr>
                  </pic:nvPicPr>
                  <pic:blipFill>
                    <a:blip r:embed="rId3"/>
                    <a:stretch>
                      <a:fillRect/>
                    </a:stretch>
                  </pic:blipFill>
                  <pic:spPr bwMode="auto">
                    <a:xfrm>
                      <a:off x="0" y="0"/>
                      <a:ext cx="3457575" cy="3228975"/>
                    </a:xfrm>
                    <a:prstGeom prst="rect">
                      <a:avLst/>
                    </a:prstGeom>
                  </pic:spPr>
                </pic:pic>
              </a:graphicData>
            </a:graphic>
          </wp:inline>
        </w:drawing>
      </w:r>
    </w:p>
    <w:tbl>
      <w:tblPr>
        <w:tblW w:w="9465" w:type="dxa"/>
        <w:jc w:val="left"/>
        <w:tblInd w:w="-113" w:type="dxa"/>
        <w:tblBorders/>
        <w:tblCellMar>
          <w:top w:w="0" w:type="dxa"/>
          <w:left w:w="113" w:type="dxa"/>
          <w:bottom w:w="0" w:type="dxa"/>
          <w:right w:w="57" w:type="dxa"/>
        </w:tblCellMar>
      </w:tblPr>
      <w:tblGrid>
        <w:gridCol w:w="2808"/>
        <w:gridCol w:w="692"/>
        <w:gridCol w:w="5965"/>
      </w:tblGrid>
      <w:tr>
        <w:trPr/>
        <w:tc>
          <w:tcPr>
            <w:tcW w:w="2808" w:type="dxa"/>
            <w:tcBorders/>
            <w:shd w:fill="auto" w:val="clear"/>
            <w:vAlign w:val="center"/>
          </w:tcPr>
          <w:p>
            <w:pPr>
              <w:pStyle w:val="Normal"/>
              <w:spacing w:before="120" w:after="0"/>
              <w:jc w:val="center"/>
              <w:rPr/>
            </w:pPr>
            <w:r>
              <w:rPr/>
            </w:r>
            <m:oMath xmlns:m="http://schemas.openxmlformats.org/officeDocument/2006/math">
              <m:r>
                <w:rPr>
                  <w:rFonts w:ascii="Cambria Math" w:hAnsi="Cambria Math"/>
                </w:rPr>
                <m:t xml:space="preserve">E</m:t>
              </m:r>
              <m:r>
                <w:rPr>
                  <w:rFonts w:ascii="Cambria Math" w:hAnsi="Cambria Math"/>
                </w:rPr>
                <m:t xml:space="preserve">=</m:t>
              </m:r>
              <m:r>
                <w:rPr>
                  <w:rFonts w:ascii="Cambria Math" w:hAnsi="Cambria Math"/>
                </w:rPr>
                <m:t xml:space="preserve">R</m:t>
              </m:r>
              <m:r>
                <w:rPr>
                  <w:rFonts w:ascii="Cambria Math" w:hAnsi="Cambria Math"/>
                </w:rPr>
                <m:t xml:space="preserve">−</m:t>
              </m:r>
              <m:rad>
                <m:radPr>
                  <m:degHide m:val="1"/>
                </m:radPr>
                <m:deg/>
                <m:e>
                  <m:sSup>
                    <m:e>
                      <m:r>
                        <w:rPr>
                          <w:rFonts w:ascii="Cambria Math" w:hAnsi="Cambria Math"/>
                        </w:rPr>
                        <m:t xml:space="preserve">R</m:t>
                      </m:r>
                    </m:e>
                    <m:sup>
                      <m:r>
                        <w:rPr>
                          <w:rFonts w:ascii="Cambria Math" w:hAnsi="Cambria Math"/>
                        </w:rPr>
                        <m:t xml:space="preserve">2</m:t>
                      </m:r>
                    </m:sup>
                  </m:sSup>
                  <m:r>
                    <w:rPr>
                      <w:rFonts w:ascii="Cambria Math" w:hAnsi="Cambria Math"/>
                    </w:rPr>
                    <m:t xml:space="preserve">−</m:t>
                  </m:r>
                  <m:sSup>
                    <m:e>
                      <m:d>
                        <m:dPr>
                          <m:begChr m:val="("/>
                          <m:endChr m:val=")"/>
                        </m:dPr>
                        <m:e>
                          <m:f>
                            <m:num>
                              <m:r>
                                <w:rPr>
                                  <w:rFonts w:ascii="Cambria Math" w:hAnsi="Cambria Math"/>
                                </w:rPr>
                                <m:t xml:space="preserve">A</m:t>
                              </m:r>
                            </m:num>
                            <m:den>
                              <m:r>
                                <w:rPr>
                                  <w:rFonts w:ascii="Cambria Math" w:hAnsi="Cambria Math"/>
                                </w:rPr>
                                <m:t xml:space="preserve">2</m:t>
                              </m:r>
                            </m:den>
                          </m:f>
                        </m:e>
                      </m:d>
                    </m:e>
                    <m:sup>
                      <m:r>
                        <w:rPr>
                          <w:rFonts w:ascii="Cambria Math" w:hAnsi="Cambria Math"/>
                        </w:rPr>
                        <m:t xml:space="preserve">2</m:t>
                      </m:r>
                    </m:sup>
                  </m:sSup>
                </m:e>
              </m:rad>
            </m:oMath>
          </w:p>
        </w:tc>
        <w:tc>
          <w:tcPr>
            <w:tcW w:w="692" w:type="dxa"/>
            <w:tcBorders/>
            <w:shd w:fill="auto" w:val="clear"/>
          </w:tcPr>
          <w:p>
            <w:pPr>
              <w:pStyle w:val="Normal"/>
              <w:spacing w:before="120" w:after="0"/>
              <w:jc w:val="both"/>
              <w:rPr>
                <w:sz w:val="20"/>
                <w:szCs w:val="20"/>
              </w:rPr>
            </w:pPr>
            <w:r>
              <w:rPr>
                <w:sz w:val="20"/>
                <w:szCs w:val="20"/>
              </w:rPr>
              <w:t>E …</w:t>
            </w:r>
          </w:p>
          <w:p>
            <w:pPr>
              <w:pStyle w:val="Normal"/>
              <w:jc w:val="both"/>
              <w:rPr>
                <w:sz w:val="20"/>
                <w:szCs w:val="20"/>
              </w:rPr>
            </w:pPr>
            <w:r>
              <w:rPr>
                <w:sz w:val="20"/>
                <w:szCs w:val="20"/>
              </w:rPr>
              <w:t>R …</w:t>
            </w:r>
          </w:p>
          <w:p>
            <w:pPr>
              <w:pStyle w:val="Normal"/>
              <w:jc w:val="both"/>
              <w:rPr>
                <w:sz w:val="20"/>
                <w:szCs w:val="20"/>
              </w:rPr>
            </w:pPr>
            <w:r>
              <w:rPr>
                <w:sz w:val="20"/>
                <w:szCs w:val="20"/>
              </w:rPr>
              <w:t>A …</w:t>
            </w:r>
          </w:p>
        </w:tc>
        <w:tc>
          <w:tcPr>
            <w:tcW w:w="5965" w:type="dxa"/>
            <w:tcBorders/>
            <w:shd w:fill="auto" w:val="clear"/>
          </w:tcPr>
          <w:p>
            <w:pPr>
              <w:pStyle w:val="Normal"/>
              <w:spacing w:before="120" w:after="0"/>
              <w:jc w:val="both"/>
              <w:rPr>
                <w:sz w:val="20"/>
                <w:szCs w:val="20"/>
              </w:rPr>
            </w:pPr>
            <w:r>
              <w:rPr>
                <w:sz w:val="20"/>
                <w:szCs w:val="20"/>
              </w:rPr>
              <w:t>Breitenerweiterung</w:t>
            </w:r>
          </w:p>
          <w:p>
            <w:pPr>
              <w:pStyle w:val="Normal"/>
              <w:jc w:val="both"/>
              <w:rPr>
                <w:sz w:val="20"/>
                <w:szCs w:val="20"/>
              </w:rPr>
            </w:pPr>
            <w:r>
              <w:rPr>
                <w:sz w:val="20"/>
                <w:szCs w:val="20"/>
              </w:rPr>
              <w:t>Bogenradius</w:t>
            </w:r>
          </w:p>
          <w:p>
            <w:pPr>
              <w:pStyle w:val="Normal"/>
              <w:jc w:val="both"/>
              <w:rPr>
                <w:sz w:val="20"/>
                <w:szCs w:val="20"/>
              </w:rPr>
            </w:pPr>
            <w:r>
              <w:rPr>
                <w:sz w:val="20"/>
                <w:szCs w:val="20"/>
              </w:rPr>
              <w:t>Fester Achsstand oder Drehzapfenabstand der Drehgestelle des längsten Fahrzeuges</w:t>
            </w:r>
          </w:p>
        </w:tc>
      </w:tr>
    </w:tbl>
    <w:p>
      <w:pPr>
        <w:pStyle w:val="Normal"/>
        <w:jc w:val="both"/>
        <w:rPr>
          <w:b w:val="false"/>
          <w:b w:val="false"/>
          <w:bCs w:val="false"/>
          <w:sz w:val="20"/>
          <w:szCs w:val="20"/>
        </w:rPr>
      </w:pPr>
      <w:r>
        <w:rPr>
          <w:b w:val="false"/>
          <w:bCs w:val="false"/>
          <w:sz w:val="20"/>
          <w:szCs w:val="20"/>
        </w:rPr>
        <w:t>Bei Rollwagenbetrieb ist für den Wert A der Drehzapfenabstand des längsten Normalspur-Drehgestellwagens + Drehzapfenabstand des Rollwagens einzusetzen.</w:t>
      </w:r>
    </w:p>
    <w:p>
      <w:pPr>
        <w:pStyle w:val="Normal"/>
        <w:jc w:val="left"/>
        <w:rPr>
          <w:b/>
          <w:b/>
          <w:bCs/>
          <w:sz w:val="20"/>
          <w:szCs w:val="20"/>
        </w:rPr>
      </w:pPr>
      <w:r>
        <w:rPr>
          <w:b/>
          <w:bCs/>
          <w:sz w:val="20"/>
          <w:szCs w:val="20"/>
        </w:rPr>
        <w:t>Praxis:</w:t>
      </w:r>
    </w:p>
    <w:p>
      <w:pPr>
        <w:pStyle w:val="Normal"/>
        <w:jc w:val="both"/>
        <w:rPr/>
      </w:pPr>
      <w:r>
        <w:rPr>
          <w:b w:val="false"/>
          <w:bCs/>
          <w:color w:val="729FCF"/>
          <w:sz w:val="20"/>
          <w:szCs w:val="20"/>
        </w:rPr>
        <w:t xml:space="preserve">Beim Modulbau kann mittels käuflich erworbener Messlehren oder selbst verfertigter Schablonen (den </w:t>
      </w:r>
      <w:hyperlink r:id="rId4">
        <w:r>
          <w:rPr>
            <w:rStyle w:val="Internetverknpfung"/>
            <w:b w:val="false"/>
            <w:bCs/>
            <w:color w:val="729FCF"/>
            <w:sz w:val="20"/>
            <w:szCs w:val="20"/>
          </w:rPr>
          <w:t>NRMA Normen</w:t>
        </w:r>
      </w:hyperlink>
      <w:r>
        <w:rPr>
          <w:b w:val="false"/>
          <w:bCs/>
          <w:color w:val="729FCF"/>
          <w:sz w:val="20"/>
          <w:szCs w:val="20"/>
        </w:rPr>
        <w:t xml:space="preserve"> </w:t>
      </w:r>
      <w:r>
        <w:rPr>
          <w:b w:val="false"/>
          <w:bCs/>
          <w:color w:val="729FCF"/>
          <w:sz w:val="16"/>
          <w:szCs w:val="20"/>
        </w:rPr>
        <w:t xml:space="preserve"> </w:t>
      </w:r>
      <w:hyperlink r:id="rId5">
        <w:r>
          <w:rPr>
            <w:rStyle w:val="Internetverknpfung"/>
            <w:b w:val="false"/>
            <w:bCs/>
            <w:color w:val="729FCF"/>
            <w:sz w:val="16"/>
            <w:szCs w:val="20"/>
          </w:rPr>
          <w:t>http://www.miba.de/morop/</w:t>
        </w:r>
      </w:hyperlink>
      <w:r>
        <w:rPr>
          <w:b w:val="false"/>
          <w:bCs/>
          <w:color w:val="729FCF"/>
          <w:sz w:val="16"/>
          <w:szCs w:val="20"/>
        </w:rPr>
        <w:t xml:space="preserve">) </w:t>
      </w:r>
      <w:r>
        <w:rPr>
          <w:b w:val="false"/>
          <w:bCs/>
          <w:color w:val="729FCF"/>
          <w:sz w:val="20"/>
          <w:szCs w:val="20"/>
        </w:rPr>
        <w:t>im Internet entnommen) das richtige Lichtraumprofil ermittelt werden.</w:t>
      </w:r>
    </w:p>
    <w:p>
      <w:pPr>
        <w:pStyle w:val="Normal"/>
        <w:jc w:val="both"/>
        <w:rPr/>
      </w:pPr>
      <w:r>
        <w:rPr>
          <w:b w:val="false"/>
          <w:bCs/>
          <w:color w:val="729FCF"/>
          <w:sz w:val="20"/>
          <w:szCs w:val="20"/>
        </w:rPr>
        <w:t xml:space="preserve">Trotz aller Normungen sollte man aber trotz allem schon beim Gleis- und Geländebau stets Probefahrten mit den größten und längsten Fahrzeugen durchführen, um dann nicht später an einem unbedachten Hindernis zu scheitern. Gerade auf Rollfahrzeugen aufgeschemelte Normalspurwagen können in engeren Gleisbögen beachtlich überhängen. Auch so manches Handelsmodell überschreitet dort oder da das rechnerische Profil. </w:t>
      </w:r>
    </w:p>
    <w:p>
      <w:pPr>
        <w:pStyle w:val="Normal"/>
        <w:jc w:val="both"/>
        <w:rPr/>
      </w:pPr>
      <w:r>
        <w:rPr>
          <w:b w:val="false"/>
          <w:bCs/>
          <w:color w:val="77BC65"/>
          <w:sz w:val="20"/>
          <w:szCs w:val="20"/>
        </w:rPr>
        <w:t>Daher ist - besonders bei festen Einbauten - der Praxistest hier das Mittel der Wahl.</w:t>
      </w:r>
      <w:r>
        <w:rPr>
          <w:b/>
          <w:bCs/>
          <w:color w:val="729FCF"/>
          <w:sz w:val="20"/>
          <w:szCs w:val="20"/>
        </w:rPr>
        <w:t xml:space="preserve"> </w:t>
      </w:r>
    </w:p>
    <w:p>
      <w:pPr>
        <w:pStyle w:val="Normal"/>
        <w:jc w:val="both"/>
        <w:rPr/>
      </w:pPr>
      <w:r>
        <w:rPr>
          <w:b w:val="false"/>
          <w:bCs w:val="false"/>
          <w:color w:val="77BC65"/>
          <w:sz w:val="20"/>
          <w:szCs w:val="20"/>
        </w:rPr>
        <w:t xml:space="preserve">Besonders zu </w:t>
      </w:r>
      <w:r>
        <w:rPr>
          <w:b w:val="false"/>
          <w:bCs w:val="false"/>
          <w:color w:val="77BC65"/>
          <w:sz w:val="20"/>
          <w:szCs w:val="20"/>
        </w:rPr>
        <w:t>b</w:t>
      </w:r>
      <w:r>
        <w:rPr>
          <w:b w:val="false"/>
          <w:bCs w:val="false"/>
          <w:color w:val="77BC65"/>
          <w:sz w:val="20"/>
          <w:szCs w:val="20"/>
        </w:rPr>
        <w:t>eachten sind hier die im Vergleich zum Vorbild meist engeren Radien. Daher ist in den Bögen mehr Lichtraum vorzusehen.</w:t>
      </w:r>
    </w:p>
    <w:sectPr>
      <w:footerReference w:type="default" r:id="rId6"/>
      <w:type w:val="nextPage"/>
      <w:pgSz w:w="11906" w:h="16838"/>
      <w:pgMar w:left="1134" w:right="964" w:header="0" w:top="225" w:footer="124" w:bottom="73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spacing w:before="120" w:after="0"/>
      <w:rPr/>
    </w:pPr>
    <w:r>
      <w:rPr>
        <w:b w:val="false"/>
        <w:bCs w:val="false"/>
        <w:sz w:val="24"/>
        <w:lang w:val="de-AT"/>
      </w:rPr>
      <w:t xml:space="preserve">Seite </w:t>
    </w:r>
    <w:r>
      <w:rPr>
        <w:b w:val="false"/>
        <w:bCs w:val="false"/>
        <w:sz w:val="24"/>
      </w:rPr>
      <w:fldChar w:fldCharType="begin"/>
    </w:r>
    <w:r>
      <w:rPr>
        <w:sz w:val="24"/>
        <w:b w:val="false"/>
        <w:bCs w:val="false"/>
      </w:rPr>
      <w:instrText> PAGE </w:instrText>
    </w:r>
    <w:r>
      <w:rPr>
        <w:sz w:val="24"/>
        <w:b w:val="false"/>
        <w:bCs w:val="false"/>
      </w:rPr>
      <w:fldChar w:fldCharType="separate"/>
    </w:r>
    <w:r>
      <w:rPr>
        <w:sz w:val="24"/>
        <w:b w:val="false"/>
        <w:bCs w:val="false"/>
      </w:rPr>
      <w:t>1</w:t>
    </w:r>
    <w:r>
      <w:rPr>
        <w:sz w:val="24"/>
        <w:b w:val="false"/>
        <w:bCs w:val="false"/>
      </w:rPr>
      <w:fldChar w:fldCharType="end"/>
    </w:r>
  </w:p>
  <w:p>
    <w:pPr>
      <w:pStyle w:val="Fuzeile"/>
      <w:rPr>
        <w:lang w:val="de-AT"/>
      </w:rPr>
    </w:pPr>
    <w:r>
      <w:rPr>
        <w:lang w:val="de-AT"/>
      </w:rPr>
    </w:r>
  </w:p>
</w:ftr>
</file>

<file path=word/settings.xml><?xml version="1.0" encoding="utf-8"?>
<w:settings xmlns:w="http://schemas.openxmlformats.org/wordprocessingml/2006/main">
  <w:zoom w:percent="100"/>
  <w:defaultTabStop w:val="709"/>
  <w:autoHyphenation w:val="true"/>
  <w:compat/>
  <w:themeFontLang w:val="de-A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de-AT" w:eastAsia="de-A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115b60"/>
    <w:pPr>
      <w:widowControl/>
      <w:suppressAutoHyphens w:val="false"/>
      <w:bidi w:val="0"/>
      <w:spacing w:before="120" w:after="0"/>
      <w:jc w:val="center"/>
    </w:pPr>
    <w:rPr>
      <w:rFonts w:ascii="Arial" w:hAnsi="Arial" w:eastAsia="Times New Roman" w:cs="Arial"/>
      <w:b/>
      <w:color w:val="auto"/>
      <w:kern w:val="0"/>
      <w:sz w:val="36"/>
      <w:szCs w:val="36"/>
      <w:lang w:val="de-DE" w:eastAsia="de-DE" w:bidi="ar-SA"/>
    </w:rPr>
  </w:style>
  <w:style w:type="paragraph" w:styleId="Berschrift1">
    <w:name w:val="Heading 1"/>
    <w:basedOn w:val="Normal"/>
    <w:next w:val="Normal"/>
    <w:qFormat/>
    <w:rsid w:val="00fb3dfb"/>
    <w:pPr>
      <w:keepNext w:val="true"/>
      <w:spacing w:before="240" w:after="60"/>
      <w:outlineLvl w:val="0"/>
    </w:pPr>
    <w:rPr>
      <w:bCs/>
      <w:kern w:val="2"/>
      <w:sz w:val="32"/>
      <w:szCs w:val="32"/>
    </w:rPr>
  </w:style>
  <w:style w:type="paragraph" w:styleId="Berschrift2">
    <w:name w:val="Heading 2"/>
    <w:basedOn w:val="Normal"/>
    <w:next w:val="Normal"/>
    <w:qFormat/>
    <w:rsid w:val="00846711"/>
    <w:pPr>
      <w:keepNext w:val="true"/>
      <w:spacing w:before="240" w:after="60"/>
      <w:outlineLvl w:val="1"/>
    </w:pPr>
    <w:rPr>
      <w:bCs/>
      <w:i/>
      <w:iCs/>
      <w:sz w:val="28"/>
      <w:szCs w:val="28"/>
    </w:rPr>
  </w:style>
  <w:style w:type="paragraph" w:styleId="Berschrift3">
    <w:name w:val="Heading 3"/>
    <w:basedOn w:val="Normal"/>
    <w:next w:val="Normal"/>
    <w:qFormat/>
    <w:rsid w:val="00fb3dfb"/>
    <w:pPr>
      <w:keepNext w:val="true"/>
      <w:spacing w:before="240" w:after="60"/>
      <w:outlineLvl w:val="2"/>
    </w:pPr>
    <w:rPr>
      <w:bCs/>
      <w:sz w:val="26"/>
      <w:szCs w:val="26"/>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sid w:val="00a919fc"/>
    <w:rPr/>
  </w:style>
  <w:style w:type="character" w:styleId="SprechblasentextZchn" w:customStyle="1">
    <w:name w:val="Sprechblasentext Zchn"/>
    <w:link w:val="Sprechblasentext"/>
    <w:qFormat/>
    <w:rsid w:val="00544f95"/>
    <w:rPr>
      <w:rFonts w:ascii="Tahoma" w:hAnsi="Tahoma" w:cs="Tahoma"/>
      <w:sz w:val="16"/>
      <w:szCs w:val="16"/>
    </w:rPr>
  </w:style>
  <w:style w:type="character" w:styleId="KopfzeileZchn" w:customStyle="1">
    <w:name w:val="Kopfzeile Zchn"/>
    <w:link w:val="Kopfzeile"/>
    <w:uiPriority w:val="99"/>
    <w:qFormat/>
    <w:rsid w:val="00bd205e"/>
    <w:rPr>
      <w:sz w:val="24"/>
      <w:szCs w:val="24"/>
    </w:rPr>
  </w:style>
  <w:style w:type="character" w:styleId="Annotationreference">
    <w:name w:val="annotation reference"/>
    <w:basedOn w:val="DefaultParagraphFont"/>
    <w:qFormat/>
    <w:rsid w:val="004f3554"/>
    <w:rPr>
      <w:sz w:val="16"/>
      <w:szCs w:val="16"/>
    </w:rPr>
  </w:style>
  <w:style w:type="character" w:styleId="KommentartextZchn" w:customStyle="1">
    <w:name w:val="Kommentartext Zchn"/>
    <w:basedOn w:val="DefaultParagraphFont"/>
    <w:link w:val="Kommentartext"/>
    <w:qFormat/>
    <w:rsid w:val="004f3554"/>
    <w:rPr>
      <w:lang w:val="de-DE" w:eastAsia="de-DE"/>
    </w:rPr>
  </w:style>
  <w:style w:type="character" w:styleId="KommentarthemaZchn" w:customStyle="1">
    <w:name w:val="Kommentarthema Zchn"/>
    <w:basedOn w:val="KommentartextZchn"/>
    <w:link w:val="Kommentarthema"/>
    <w:qFormat/>
    <w:rsid w:val="004f3554"/>
    <w:rPr>
      <w:b/>
      <w:bCs/>
    </w:rPr>
  </w:style>
  <w:style w:type="character" w:styleId="Internetverknpfung">
    <w:name w:val="Internetverknüpfung"/>
    <w:basedOn w:val="DefaultParagraphFont"/>
    <w:rsid w:val="00f72099"/>
    <w:rPr>
      <w:color w:val="0000FF" w:themeColor="hyperlink"/>
      <w:u w:val="single"/>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vertAlign w:val="superscript"/>
    </w:rPr>
  </w:style>
  <w:style w:type="character" w:styleId="ListLabel5">
    <w:name w:val="ListLabel 5"/>
    <w:qFormat/>
    <w:rPr>
      <w:rFonts w:eastAsia="Times New Roman" w:cs="Times New Roman"/>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eastAsia="Times New Roman" w:cs="Times New Roman"/>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rFonts w:cs="Courier New"/>
    </w:rPr>
  </w:style>
  <w:style w:type="character" w:styleId="ListLabel44">
    <w:name w:val="ListLabel 44"/>
    <w:qFormat/>
    <w:rPr>
      <w:rFonts w:cs="Courier New"/>
    </w:rPr>
  </w:style>
  <w:style w:type="character" w:styleId="ListLabel45">
    <w:name w:val="ListLabel 45"/>
    <w:qFormat/>
    <w:rPr>
      <w:rFonts w:cs="Courier New"/>
    </w:rPr>
  </w:style>
  <w:style w:type="character" w:styleId="ListLabel46">
    <w:name w:val="ListLabel 46"/>
    <w:qFormat/>
    <w:rPr>
      <w:rFonts w:cs="Courier New"/>
    </w:rPr>
  </w:style>
  <w:style w:type="character" w:styleId="ListLabel47">
    <w:name w:val="ListLabel 47"/>
    <w:qFormat/>
    <w:rPr>
      <w:rFonts w:cs="Courier New"/>
    </w:rPr>
  </w:style>
  <w:style w:type="character" w:styleId="ListLabel48">
    <w:name w:val="ListLabel 48"/>
    <w:qFormat/>
    <w:rPr>
      <w:rFonts w:cs="Courier New"/>
    </w:rPr>
  </w:style>
  <w:style w:type="character" w:styleId="ListLabel49">
    <w:name w:val="ListLabel 49"/>
    <w:qFormat/>
    <w:rPr>
      <w:rFonts w:eastAsia="Times New Roman" w:cs="Times New Roman"/>
    </w:rPr>
  </w:style>
  <w:style w:type="character" w:styleId="ListLabel50">
    <w:name w:val="ListLabel 50"/>
    <w:qFormat/>
    <w:rPr>
      <w:rFonts w:eastAsia="Times New Roman" w:cs="Arial"/>
    </w:rPr>
  </w:style>
  <w:style w:type="character" w:styleId="ListLabel51">
    <w:name w:val="ListLabel 51"/>
    <w:qFormat/>
    <w:rPr>
      <w:rFonts w:cs="Courier New"/>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eastAsia="Times New Roman" w:cs="Arial"/>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Courier New"/>
    </w:rPr>
  </w:style>
  <w:style w:type="character" w:styleId="ListLabel59">
    <w:name w:val="ListLabel 59"/>
    <w:qFormat/>
    <w:rPr>
      <w:rFonts w:cs="Courier New"/>
    </w:rPr>
  </w:style>
  <w:style w:type="character" w:styleId="ListLabel60">
    <w:name w:val="ListLabel 60"/>
    <w:qFormat/>
    <w:rPr>
      <w:rFonts w:cs="Courier New"/>
    </w:rPr>
  </w:style>
  <w:style w:type="character" w:styleId="ListLabel61">
    <w:name w:val="ListLabel 61"/>
    <w:qFormat/>
    <w:rPr>
      <w:b w:val="false"/>
      <w:bCs/>
      <w:color w:val="729FCF"/>
      <w:sz w:val="20"/>
      <w:szCs w:val="20"/>
    </w:rPr>
  </w:style>
  <w:style w:type="character" w:styleId="ListLabel62">
    <w:name w:val="ListLabel 62"/>
    <w:qFormat/>
    <w:rPr>
      <w:b w:val="false"/>
      <w:bCs/>
      <w:color w:val="729FCF"/>
      <w:sz w:val="20"/>
      <w:szCs w:val="20"/>
    </w:rPr>
  </w:style>
  <w:style w:type="paragraph" w:styleId="Berschrift">
    <w:name w:val="Überschrift"/>
    <w:basedOn w:val="Normal"/>
    <w:next w:val="Textkrper"/>
    <w:qFormat/>
    <w:pPr>
      <w:keepNext w:val="true"/>
      <w:spacing w:before="240" w:after="120"/>
    </w:pPr>
    <w:rPr>
      <w:rFonts w:ascii="Liberation Sans" w:hAnsi="Liberation Sans" w:eastAsia="Microsoft YaHei" w:cs="Lucida Sans"/>
      <w:sz w:val="28"/>
      <w:szCs w:val="28"/>
    </w:rPr>
  </w:style>
  <w:style w:type="paragraph" w:styleId="Textkrper">
    <w:name w:val="Body Text"/>
    <w:basedOn w:val="Normal"/>
    <w:pPr>
      <w:spacing w:lineRule="auto" w:line="276" w:before="0" w:after="140"/>
    </w:pPr>
    <w:rPr/>
  </w:style>
  <w:style w:type="paragraph" w:styleId="Liste">
    <w:name w:val="List"/>
    <w:basedOn w:val="Textkrper"/>
    <w:pPr/>
    <w:rPr>
      <w:rFonts w:cs="Lucida Sans"/>
    </w:rPr>
  </w:style>
  <w:style w:type="paragraph" w:styleId="Beschriftung">
    <w:name w:val="Caption"/>
    <w:basedOn w:val="Normal"/>
    <w:qFormat/>
    <w:pPr>
      <w:suppressLineNumbers/>
      <w:spacing w:before="120" w:after="120"/>
    </w:pPr>
    <w:rPr>
      <w:rFonts w:cs="Lucida Sans"/>
      <w:i/>
      <w:iCs/>
      <w:sz w:val="24"/>
      <w:szCs w:val="24"/>
    </w:rPr>
  </w:style>
  <w:style w:type="paragraph" w:styleId="Verzeichnis">
    <w:name w:val="Verzeichnis"/>
    <w:basedOn w:val="Normal"/>
    <w:qFormat/>
    <w:pPr>
      <w:suppressLineNumbers/>
    </w:pPr>
    <w:rPr>
      <w:rFonts w:cs="Lucida Sans"/>
    </w:rPr>
  </w:style>
  <w:style w:type="paragraph" w:styleId="Kopfzeile">
    <w:name w:val="Header"/>
    <w:basedOn w:val="Normal"/>
    <w:link w:val="KopfzeileZchn"/>
    <w:uiPriority w:val="99"/>
    <w:rsid w:val="00a919fc"/>
    <w:pPr>
      <w:tabs>
        <w:tab w:val="clear" w:pos="709"/>
        <w:tab w:val="center" w:pos="4536" w:leader="none"/>
        <w:tab w:val="right" w:pos="9072" w:leader="none"/>
      </w:tabs>
    </w:pPr>
    <w:rPr/>
  </w:style>
  <w:style w:type="paragraph" w:styleId="Fuzeile">
    <w:name w:val="Footer"/>
    <w:basedOn w:val="Normal"/>
    <w:rsid w:val="00a919fc"/>
    <w:pPr>
      <w:tabs>
        <w:tab w:val="clear" w:pos="709"/>
        <w:tab w:val="center" w:pos="4536" w:leader="none"/>
        <w:tab w:val="right" w:pos="9072" w:leader="none"/>
      </w:tabs>
    </w:pPr>
    <w:rPr/>
  </w:style>
  <w:style w:type="paragraph" w:styleId="ListParagraph">
    <w:name w:val="List Paragraph"/>
    <w:basedOn w:val="Normal"/>
    <w:uiPriority w:val="34"/>
    <w:qFormat/>
    <w:rsid w:val="003d53cb"/>
    <w:pPr>
      <w:ind w:left="708" w:hanging="0"/>
    </w:pPr>
    <w:rPr/>
  </w:style>
  <w:style w:type="paragraph" w:styleId="BalloonText">
    <w:name w:val="Balloon Text"/>
    <w:basedOn w:val="Normal"/>
    <w:link w:val="SprechblasentextZchn"/>
    <w:qFormat/>
    <w:rsid w:val="00544f95"/>
    <w:pPr/>
    <w:rPr>
      <w:rFonts w:ascii="Tahoma" w:hAnsi="Tahoma"/>
      <w:sz w:val="16"/>
      <w:szCs w:val="16"/>
    </w:rPr>
  </w:style>
  <w:style w:type="paragraph" w:styleId="NormalWeb">
    <w:name w:val="Normal (Web)"/>
    <w:basedOn w:val="Normal"/>
    <w:uiPriority w:val="99"/>
    <w:unhideWhenUsed/>
    <w:qFormat/>
    <w:rsid w:val="00103bfe"/>
    <w:pPr>
      <w:spacing w:beforeAutospacing="1" w:afterAutospacing="1"/>
    </w:pPr>
    <w:rPr/>
  </w:style>
  <w:style w:type="paragraph" w:styleId="Annotationtext">
    <w:name w:val="annotation text"/>
    <w:basedOn w:val="Normal"/>
    <w:link w:val="KommentartextZchn"/>
    <w:qFormat/>
    <w:rsid w:val="004f3554"/>
    <w:pPr/>
    <w:rPr>
      <w:sz w:val="20"/>
      <w:szCs w:val="20"/>
    </w:rPr>
  </w:style>
  <w:style w:type="paragraph" w:styleId="Annotationsubject">
    <w:name w:val="annotation subject"/>
    <w:basedOn w:val="Annotationtext"/>
    <w:next w:val="Annotationtext"/>
    <w:link w:val="KommentarthemaZchn"/>
    <w:qFormat/>
    <w:rsid w:val="004f3554"/>
    <w:pPr/>
    <w:rPr>
      <w:bCs/>
    </w:rPr>
  </w:style>
  <w:style w:type="numbering" w:styleId="NoList" w:default="1">
    <w:name w:val="No List"/>
    <w:uiPriority w:val="99"/>
    <w:semiHidden/>
    <w:unhideWhenUsed/>
    <w:qFormat/>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table" w:customStyle="1" w:styleId="Tabellenraster">
    <w:name w:val="Tabellenraster"/>
    <w:basedOn w:val="NormaleTabelle"/>
    <w:rsid w:val="0077437f"/>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http://www.miba.de/morop/" TargetMode="External"/><Relationship Id="rId5" Type="http://schemas.openxmlformats.org/officeDocument/2006/relationships/hyperlink" Target="http://www.miba.de/morop/"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3F1F8-1A31-421D-B84E-180E17096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LibreOffice/6.1.5.2$Windows_X86_64 LibreOffice_project/90f8dcf33c87b3705e78202e3df5142b201bd805</Application>
  <Pages>1</Pages>
  <Words>255</Words>
  <Characters>1618</Characters>
  <CharactersWithSpaces>1854</CharactersWithSpaces>
  <Paragraphs>26</Paragraphs>
  <Company>privat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2016-05-25T15:38:00Z</dcterms:created>
  <dc:creator>Michael Sengstschmid</dc:creator>
  <dc:description/>
  <dc:language>de-AT</dc:language>
  <cp:lastModifiedBy/>
  <cp:lastPrinted>2021-03-31T20:28:55Z</cp:lastPrinted>
  <dcterms:modified xsi:type="dcterms:W3CDTF">2021-03-31T20:29:15Z</dcterms:modified>
  <cp:revision>9</cp:revision>
  <dc:subject/>
  <dc:title>Modulsystem Modellbahngruppe Haag</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privat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category">
    <vt:lpwstr>Modelleisenbahn HOe</vt:lpwstr>
  </property>
</Properties>
</file>