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Berschrift3"/>
        <w:spacing w:before="240" w:after="60"/>
        <w:rPr>
          <w:sz w:val="2"/>
          <w:szCs w:val="2"/>
        </w:rPr>
      </w:pPr>
      <w:r>
        <w:rPr>
          <w:sz w:val="2"/>
          <w:szCs w:val="2"/>
        </w:rPr>
      </w:r>
    </w:p>
    <w:tbl>
      <w:tblPr>
        <w:tblW w:w="10024" w:type="dxa"/>
        <w:jc w:val="left"/>
        <w:tblInd w:w="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CellMar>
          <w:top w:w="0" w:type="dxa"/>
          <w:left w:w="108" w:type="dxa"/>
          <w:bottom w:w="0" w:type="dxa"/>
          <w:right w:w="108" w:type="dxa"/>
        </w:tblCellMar>
        <w:tblLook w:val="04a0"/>
      </w:tblPr>
      <w:tblGrid>
        <w:gridCol w:w="1895"/>
        <w:gridCol w:w="6529"/>
        <w:gridCol w:w="1600"/>
      </w:tblGrid>
      <w:tr>
        <w:trPr>
          <w:trHeight w:val="1162" w:hRule="atLeast"/>
        </w:trPr>
        <w:tc>
          <w:tcPr>
            <w:tcW w:w="1895" w:type="dxa"/>
            <w:tc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cBorders>
            <w:shd w:fill="auto" w:val="clear"/>
          </w:tcPr>
          <w:p>
            <w:pPr>
              <w:pStyle w:val="Normal"/>
              <w:widowControl/>
              <w:suppressAutoHyphens w:val="false"/>
              <w:bidi w:val="0"/>
              <w:spacing w:before="120" w:after="0"/>
              <w:jc w:val="center"/>
              <w:rPr>
                <w:rFonts w:eastAsia="Calibri"/>
                <w:lang w:eastAsia="en-US"/>
              </w:rPr>
            </w:pPr>
            <w:r>
              <w:rPr/>
              <w:drawing>
                <wp:inline distT="0" distB="0" distL="0" distR="0">
                  <wp:extent cx="1047750" cy="561975"/>
                  <wp:effectExtent l="0" t="0" r="0" b="0"/>
                  <wp:docPr id="1" name="Grafik 2" descr="http://www.erlebnisbahn.at/strubel/bilder/z6/zeichz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2" descr="http://www.erlebnisbahn.at/strubel/bilder/z6/zeichz6.jpg"/>
                          <pic:cNvPicPr>
                            <a:picLocks noChangeAspect="1" noChangeArrowheads="1"/>
                          </pic:cNvPicPr>
                        </pic:nvPicPr>
                        <pic:blipFill>
                          <a:blip r:embed="rId2"/>
                          <a:stretch>
                            <a:fillRect/>
                          </a:stretch>
                        </pic:blipFill>
                        <pic:spPr bwMode="auto">
                          <a:xfrm>
                            <a:off x="0" y="0"/>
                            <a:ext cx="1047750" cy="561975"/>
                          </a:xfrm>
                          <a:prstGeom prst="rect">
                            <a:avLst/>
                          </a:prstGeom>
                        </pic:spPr>
                      </pic:pic>
                    </a:graphicData>
                  </a:graphic>
                </wp:inline>
              </w:drawing>
            </w:r>
          </w:p>
          <w:p>
            <w:pPr>
              <w:pStyle w:val="Normal"/>
              <w:rPr>
                <w:rFonts w:eastAsia="Calibri"/>
                <w:lang w:eastAsia="en-US"/>
              </w:rPr>
            </w:pPr>
            <w:r>
              <w:rPr>
                <w:rFonts w:eastAsia="Calibri"/>
                <w:lang w:eastAsia="en-US"/>
              </w:rPr>
              <w:t>SMBG</w:t>
            </w:r>
          </w:p>
        </w:tc>
        <w:tc>
          <w:tcPr>
            <w:tcW w:w="6529" w:type="dxa"/>
            <w:tc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cBorders>
            <w:shd w:fill="auto" w:val="clear"/>
          </w:tcPr>
          <w:p>
            <w:pPr>
              <w:pStyle w:val="Normal"/>
              <w:widowControl/>
              <w:suppressAutoHyphens w:val="false"/>
              <w:bidi w:val="0"/>
              <w:spacing w:before="120" w:after="0"/>
              <w:jc w:val="center"/>
              <w:rPr>
                <w:b w:val="false"/>
                <w:b w:val="false"/>
                <w:sz w:val="28"/>
                <w:szCs w:val="28"/>
              </w:rPr>
            </w:pPr>
            <w:r>
              <w:rPr>
                <w:b w:val="false"/>
                <w:sz w:val="28"/>
                <w:szCs w:val="28"/>
              </w:rPr>
              <w:t>Schmalspur Modulbaugruppe</w:t>
            </w:r>
          </w:p>
          <w:p>
            <w:pPr>
              <w:pStyle w:val="Normal"/>
              <w:rPr/>
            </w:pPr>
            <w:r>
              <w:rPr>
                <w:b w:val="false"/>
                <w:sz w:val="28"/>
                <w:szCs w:val="28"/>
              </w:rPr>
              <w:t>Modulhandbuch 2.0</w:t>
            </w:r>
            <w:r>
              <w:rPr/>
              <w:t xml:space="preserve"> Gleisbogenüberhöhung, Übergangsbogen</w:t>
            </w:r>
            <w:r>
              <w:rPr>
                <w:b w:val="false"/>
                <w:sz w:val="20"/>
                <w:szCs w:val="20"/>
              </w:rPr>
              <w:t xml:space="preserve"> </w:t>
            </w:r>
          </w:p>
        </w:tc>
        <w:tc>
          <w:tcPr>
            <w:tcW w:w="1600" w:type="dxa"/>
            <w:tc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cBorders>
            <w:shd w:fill="auto" w:val="clear"/>
          </w:tcPr>
          <w:p>
            <w:pPr>
              <w:pStyle w:val="Normal"/>
              <w:spacing w:before="120" w:after="0"/>
              <w:rPr/>
            </w:pPr>
            <w:r>
              <w:rPr>
                <w:b w:val="false"/>
                <w:sz w:val="24"/>
                <w:szCs w:val="24"/>
              </w:rPr>
              <w:t>Version 1.</w:t>
            </w:r>
            <w:r>
              <w:rPr>
                <w:b w:val="false"/>
                <w:sz w:val="24"/>
                <w:szCs w:val="24"/>
              </w:rPr>
              <w:t>1</w:t>
            </w:r>
          </w:p>
          <w:p>
            <w:pPr>
              <w:pStyle w:val="Normal"/>
              <w:rPr/>
            </w:pPr>
            <w:r>
              <w:rPr>
                <w:b w:val="false"/>
                <w:sz w:val="24"/>
                <w:szCs w:val="24"/>
              </w:rPr>
              <w:t>(</w:t>
            </w:r>
            <w:r>
              <w:rPr>
                <w:b w:val="false"/>
                <w:sz w:val="24"/>
                <w:szCs w:val="24"/>
              </w:rPr>
              <w:t>3-2021)</w:t>
            </w:r>
          </w:p>
          <w:p>
            <w:pPr>
              <w:pStyle w:val="Normal"/>
              <w:rPr>
                <w:sz w:val="24"/>
                <w:szCs w:val="24"/>
              </w:rPr>
            </w:pPr>
            <w:r>
              <w:rPr>
                <w:b w:val="false"/>
                <w:sz w:val="24"/>
                <w:szCs w:val="24"/>
              </w:rPr>
              <w:t>AVor</w:t>
            </w:r>
          </w:p>
        </w:tc>
      </w:tr>
    </w:tbl>
    <w:p>
      <w:pPr>
        <w:pStyle w:val="Normal"/>
        <w:rPr/>
      </w:pPr>
      <w:r>
        <w:rPr/>
      </w:r>
    </w:p>
    <w:p>
      <w:pPr>
        <w:pStyle w:val="Berschrift3"/>
        <w:jc w:val="left"/>
        <w:rPr/>
      </w:pPr>
      <w:r>
        <w:rPr>
          <w:b w:val="false"/>
          <w:bCs w:val="false"/>
          <w:sz w:val="20"/>
          <w:szCs w:val="20"/>
        </w:rPr>
        <w:t>Gleisüberhöhungen und Übergangsbögen unterscheiden Modellbauer von Modelleisenbahnern. Erst durch die Nachbildung dieser Details wirkt eine Anlage oder ein Modul vorbildgerecht.</w:t>
      </w:r>
    </w:p>
    <w:p>
      <w:pPr>
        <w:pStyle w:val="Normal"/>
        <w:jc w:val="both"/>
        <w:rPr>
          <w:b w:val="false"/>
          <w:b w:val="false"/>
          <w:bCs w:val="false"/>
          <w:color w:val="00A933"/>
          <w:sz w:val="20"/>
          <w:szCs w:val="20"/>
        </w:rPr>
      </w:pPr>
      <w:r>
        <w:rPr>
          <w:b w:val="false"/>
          <w:bCs w:val="false"/>
          <w:color w:val="00A933"/>
          <w:sz w:val="20"/>
          <w:szCs w:val="20"/>
        </w:rPr>
        <w:t xml:space="preserve">Aus optischen und fahrtechnischen Gründen (Entgleisungen, Kupplungsverhaken) sind die Ausbildung von Überhöhungen und Übergangsbögen dringend empfohlen. </w:t>
      </w:r>
    </w:p>
    <w:p>
      <w:pPr>
        <w:pStyle w:val="Berschrift3"/>
        <w:rPr>
          <w:sz w:val="28"/>
          <w:szCs w:val="28"/>
        </w:rPr>
      </w:pPr>
      <w:r>
        <w:rPr>
          <w:sz w:val="28"/>
          <w:szCs w:val="28"/>
        </w:rPr>
        <w:t>Gleisbogenüberhöhungen</w:t>
      </w:r>
    </w:p>
    <w:p>
      <w:pPr>
        <w:pStyle w:val="Normal"/>
        <w:jc w:val="both"/>
        <w:rPr/>
      </w:pPr>
      <w:r>
        <w:rPr>
          <w:b w:val="false"/>
          <w:sz w:val="20"/>
          <w:szCs w:val="20"/>
        </w:rPr>
        <w:t>In der Geraden liegen die beiden Schienen auf gleicher Höhe. Bei Bogenfahrt wirkt auf Fahrzeug, Insassen und Ladung die Fliehkraft. Sie ist abhängig von der Masse des Fahrzeugs, der Fahrzeuggeschwindigkeit und dem Bogenhalbmesser. Um den Einfluss der Fliehkraft zu mindern, gibt man dem Gleis eine Überhöhung.</w:t>
      </w:r>
    </w:p>
    <w:p>
      <w:pPr>
        <w:pStyle w:val="Normal"/>
        <w:jc w:val="both"/>
        <w:rPr>
          <w:b w:val="false"/>
          <w:b w:val="false"/>
          <w:sz w:val="20"/>
          <w:szCs w:val="20"/>
        </w:rPr>
      </w:pPr>
      <w:r>
        <w:rPr>
          <w:b w:val="false"/>
          <w:sz w:val="20"/>
          <w:szCs w:val="20"/>
        </w:rPr>
        <w:t>Unter Überhöhung versteht man die höhere Lage der Außenschiene eines Gleisbogens. Auch bereits bei relativ geringen Geschwindigkeiten erfolgt aus Komfortgründen eine Überhöhung, um die auf Reisenden und Güter wirkende Seitenbeschleunigung bei Bogenfahrt zu mindern.</w:t>
      </w:r>
    </w:p>
    <w:p>
      <w:pPr>
        <w:pStyle w:val="Normal"/>
        <w:jc w:val="both"/>
        <w:rPr>
          <w:b w:val="false"/>
          <w:b w:val="false"/>
          <w:sz w:val="20"/>
          <w:szCs w:val="20"/>
        </w:rPr>
      </w:pPr>
      <w:r>
        <w:rPr>
          <w:b w:val="false"/>
          <w:sz w:val="20"/>
          <w:szCs w:val="20"/>
        </w:rPr>
        <w:t xml:space="preserve">Überhöhungen wirken zwar trotz der relativ geringen Maße optisch gut, benötigen aber einen Mehraufwand beim Bau, da nach jedem erhöhten Bogen ein exakter Übergang in die Horizontale erfolgen muss. </w:t>
      </w:r>
    </w:p>
    <w:p>
      <w:pPr>
        <w:pStyle w:val="Normal"/>
        <w:jc w:val="both"/>
        <w:rPr>
          <w:b w:val="false"/>
          <w:b w:val="false"/>
          <w:sz w:val="20"/>
          <w:szCs w:val="20"/>
        </w:rPr>
      </w:pPr>
      <w:r>
        <w:rPr>
          <w:b w:val="false"/>
          <w:sz w:val="20"/>
          <w:szCs w:val="20"/>
        </w:rPr>
        <w:t>Ausführung im Modell:</w:t>
      </w:r>
    </w:p>
    <w:p>
      <w:pPr>
        <w:pStyle w:val="Normal"/>
        <w:numPr>
          <w:ilvl w:val="0"/>
          <w:numId w:val="1"/>
        </w:numPr>
        <w:jc w:val="both"/>
        <w:rPr>
          <w:b w:val="false"/>
          <w:b w:val="false"/>
          <w:sz w:val="20"/>
          <w:szCs w:val="20"/>
        </w:rPr>
      </w:pPr>
      <w:r>
        <w:rPr>
          <w:b w:val="false"/>
          <w:sz w:val="20"/>
          <w:szCs w:val="20"/>
        </w:rPr>
        <w:t>Theoretisch kann man zwar die Überhöhung aus den Vorbildvorgaben errechnen, wirklich praktikabel ist das bei Schmalspurmodulen nicht.</w:t>
      </w:r>
    </w:p>
    <w:p>
      <w:pPr>
        <w:pStyle w:val="Normal"/>
        <w:numPr>
          <w:ilvl w:val="0"/>
          <w:numId w:val="1"/>
        </w:numPr>
        <w:jc w:val="both"/>
        <w:rPr>
          <w:b w:val="false"/>
          <w:b w:val="false"/>
          <w:color w:val="00A933"/>
          <w:sz w:val="20"/>
          <w:szCs w:val="20"/>
        </w:rPr>
      </w:pPr>
      <w:r>
        <w:rPr>
          <w:b w:val="false"/>
          <w:color w:val="00A933"/>
          <w:sz w:val="20"/>
          <w:szCs w:val="20"/>
        </w:rPr>
        <w:t xml:space="preserve">Schon eine geringe Überhöhung von wenigen Zehntelmillimetern wirkt optisch gut und kann auch auf kurzen Bögen dargestellt werden. Wichtig </w:t>
      </w:r>
      <w:r>
        <w:rPr>
          <w:b w:val="false"/>
          <w:color w:val="00A933"/>
          <w:sz w:val="20"/>
          <w:szCs w:val="20"/>
        </w:rPr>
        <w:t xml:space="preserve">ist </w:t>
      </w:r>
      <w:r>
        <w:rPr>
          <w:b w:val="false"/>
          <w:color w:val="00A933"/>
          <w:sz w:val="20"/>
          <w:szCs w:val="20"/>
        </w:rPr>
        <w:t xml:space="preserve">dabei, das bei der Einmündung in die Gerade bzw. an den Modulenden wieder die ebene Gleislage erreicht wird. </w:t>
      </w:r>
    </w:p>
    <w:p>
      <w:pPr>
        <w:pStyle w:val="Normal"/>
        <w:numPr>
          <w:ilvl w:val="0"/>
          <w:numId w:val="1"/>
        </w:numPr>
        <w:jc w:val="both"/>
        <w:rPr/>
      </w:pPr>
      <w:r>
        <w:rPr>
          <w:b w:val="false"/>
          <w:color w:val="729FCF"/>
          <w:sz w:val="20"/>
          <w:szCs w:val="20"/>
        </w:rPr>
        <w:t>Die Gleisüberhöhung kann einfach hergestellt werden, indem man im Kurvenbereich mit einem Schleifklotz die Korkbettung einseitig um einige Zehntelmillimeter (maximal 1mm) abschleift. Mit ein wenig Übung ergibt das eine schön verlaufende Kurvenüberhöhung. Wenn es gut aussieht, funktioniert es meist auch gut.</w:t>
      </w:r>
    </w:p>
    <w:p>
      <w:pPr>
        <w:pStyle w:val="Normal"/>
        <w:jc w:val="both"/>
        <w:rPr>
          <w:color w:val="729FCF"/>
        </w:rPr>
      </w:pPr>
      <w:r>
        <w:rPr>
          <w:color w:val="729FCF"/>
        </w:rPr>
        <w:drawing>
          <wp:anchor behindDoc="0" distT="0" distB="0" distL="0" distR="0" simplePos="0" locked="0" layoutInCell="1" allowOverlap="1" relativeHeight="2">
            <wp:simplePos x="0" y="0"/>
            <wp:positionH relativeFrom="column">
              <wp:posOffset>838200</wp:posOffset>
            </wp:positionH>
            <wp:positionV relativeFrom="paragraph">
              <wp:posOffset>219710</wp:posOffset>
            </wp:positionV>
            <wp:extent cx="4265295" cy="3199130"/>
            <wp:effectExtent l="0" t="0" r="0" b="0"/>
            <wp:wrapSquare wrapText="largest"/>
            <wp:docPr id="2" name="Bild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1" descr=""/>
                    <pic:cNvPicPr>
                      <a:picLocks noChangeAspect="1" noChangeArrowheads="1"/>
                    </pic:cNvPicPr>
                  </pic:nvPicPr>
                  <pic:blipFill>
                    <a:blip r:embed="rId3"/>
                    <a:stretch>
                      <a:fillRect/>
                    </a:stretch>
                  </pic:blipFill>
                  <pic:spPr bwMode="auto">
                    <a:xfrm>
                      <a:off x="0" y="0"/>
                      <a:ext cx="4265295" cy="3199130"/>
                    </a:xfrm>
                    <a:prstGeom prst="rect">
                      <a:avLst/>
                    </a:prstGeom>
                  </pic:spPr>
                </pic:pic>
              </a:graphicData>
            </a:graphic>
          </wp:anchor>
        </w:drawing>
      </w:r>
    </w:p>
    <w:p>
      <w:pPr>
        <w:pStyle w:val="Normal"/>
        <w:jc w:val="both"/>
        <w:rPr>
          <w:color w:val="729FCF"/>
        </w:rPr>
      </w:pPr>
      <w:r>
        <w:rPr>
          <w:color w:val="729FCF"/>
        </w:rPr>
      </w:r>
    </w:p>
    <w:p>
      <w:pPr>
        <w:pStyle w:val="Normal"/>
        <w:jc w:val="both"/>
        <w:rPr>
          <w:color w:val="729FCF"/>
        </w:rPr>
      </w:pPr>
      <w:r>
        <w:rPr>
          <w:color w:val="729FCF"/>
        </w:rPr>
      </w:r>
    </w:p>
    <w:p>
      <w:pPr>
        <w:pStyle w:val="Normal"/>
        <w:jc w:val="both"/>
        <w:rPr>
          <w:color w:val="729FCF"/>
        </w:rPr>
      </w:pPr>
      <w:r>
        <w:rPr>
          <w:color w:val="729FCF"/>
        </w:rPr>
      </w:r>
    </w:p>
    <w:p>
      <w:pPr>
        <w:pStyle w:val="Normal"/>
        <w:jc w:val="both"/>
        <w:rPr>
          <w:color w:val="729FCF"/>
        </w:rPr>
      </w:pPr>
      <w:r>
        <w:rPr>
          <w:color w:val="729FCF"/>
        </w:rPr>
      </w:r>
    </w:p>
    <w:p>
      <w:pPr>
        <w:pStyle w:val="Normal"/>
        <w:jc w:val="both"/>
        <w:rPr>
          <w:color w:val="729FCF"/>
        </w:rPr>
      </w:pPr>
      <w:r>
        <w:rPr>
          <w:color w:val="729FCF"/>
        </w:rPr>
      </w:r>
    </w:p>
    <w:p>
      <w:pPr>
        <w:pStyle w:val="Normal"/>
        <w:jc w:val="both"/>
        <w:rPr>
          <w:color w:val="729FCF"/>
        </w:rPr>
      </w:pPr>
      <w:r>
        <w:rPr>
          <w:color w:val="729FCF"/>
        </w:rPr>
      </w:r>
    </w:p>
    <w:p>
      <w:pPr>
        <w:pStyle w:val="Normal"/>
        <w:jc w:val="both"/>
        <w:rPr>
          <w:color w:val="729FCF"/>
        </w:rPr>
      </w:pPr>
      <w:r>
        <w:rPr>
          <w:color w:val="729FCF"/>
        </w:rPr>
      </w:r>
    </w:p>
    <w:p>
      <w:pPr>
        <w:pStyle w:val="Normal"/>
        <w:jc w:val="both"/>
        <w:rPr>
          <w:color w:val="729FCF"/>
        </w:rPr>
      </w:pPr>
      <w:r>
        <w:rPr>
          <w:color w:val="729FCF"/>
        </w:rPr>
      </w:r>
    </w:p>
    <w:p>
      <w:pPr>
        <w:pStyle w:val="Normal"/>
        <w:jc w:val="both"/>
        <w:rPr>
          <w:color w:val="729FCF"/>
        </w:rPr>
      </w:pPr>
      <w:r>
        <w:rPr>
          <w:color w:val="729FCF"/>
        </w:rPr>
      </w:r>
    </w:p>
    <w:p>
      <w:pPr>
        <w:pStyle w:val="Normal"/>
        <w:jc w:val="both"/>
        <w:rPr>
          <w:b w:val="false"/>
          <w:b w:val="false"/>
          <w:sz w:val="20"/>
          <w:szCs w:val="20"/>
        </w:rPr>
      </w:pPr>
      <w:r>
        <w:rPr>
          <w:b w:val="false"/>
          <w:color w:val="729FCF"/>
          <w:sz w:val="20"/>
          <w:szCs w:val="20"/>
        </w:rPr>
        <w:t xml:space="preserve">                       </w:t>
      </w:r>
      <w:r>
        <w:rPr>
          <w:b w:val="false"/>
          <w:color w:val="000000"/>
          <w:sz w:val="20"/>
          <w:szCs w:val="20"/>
        </w:rPr>
        <w:t>Selbst die minimale Überhöhung von wenigen Zehntelmillimetern ist gut sichtbar</w:t>
      </w:r>
    </w:p>
    <w:p>
      <w:pPr>
        <w:pStyle w:val="Normal"/>
        <w:jc w:val="both"/>
        <w:rPr>
          <w:color w:val="729FCF"/>
        </w:rPr>
      </w:pPr>
      <w:r>
        <w:rPr>
          <w:color w:val="729FCF"/>
        </w:rPr>
      </w:r>
    </w:p>
    <w:p>
      <w:pPr>
        <w:pStyle w:val="Berschrift3"/>
        <w:rPr/>
      </w:pPr>
      <w:r>
        <w:rPr>
          <w:sz w:val="28"/>
          <w:szCs w:val="28"/>
        </w:rPr>
        <w:t xml:space="preserve">Übergangsbogen </w:t>
      </w:r>
    </w:p>
    <w:p>
      <w:pPr>
        <w:pStyle w:val="Normal"/>
        <w:jc w:val="both"/>
        <w:rPr/>
      </w:pPr>
      <w:r>
        <w:rPr>
          <w:b w:val="false"/>
          <w:sz w:val="20"/>
          <w:szCs w:val="20"/>
        </w:rPr>
        <w:t>Der unmittelbare Anschluss eines Kreisbogens an eine Gerade oder an einen Gegenbogen bewirkt bei der Durchfahrt von Fahrzeugen einen seitlichen Ruck durch die plötzliche Richtungsänderung sowie eine gegenseitige Verschiebung benachbarter Fahrzeugenden. Außerdem wirkt das Gleisbild nicht vorbildgerecht und unharmonisch.</w:t>
      </w:r>
    </w:p>
    <w:p>
      <w:pPr>
        <w:pStyle w:val="Normal"/>
        <w:jc w:val="both"/>
        <w:rPr>
          <w:color w:val="00A933"/>
        </w:rPr>
      </w:pPr>
      <w:r>
        <w:rPr>
          <w:b w:val="false"/>
          <w:color w:val="00A933"/>
          <w:sz w:val="20"/>
          <w:szCs w:val="20"/>
        </w:rPr>
        <w:t xml:space="preserve">Um diese störenden Erscheinungen zu mindern, empfiehlt es sich, auf der freien Strecke und in den Durchfahrtsgleisen der Bahnhöfe Übergangsbögen einzuschalten. </w:t>
      </w:r>
    </w:p>
    <w:p>
      <w:pPr>
        <w:pStyle w:val="Normal"/>
        <w:jc w:val="both"/>
        <w:rPr/>
      </w:pPr>
      <w:r>
        <w:rPr>
          <w:b w:val="false"/>
          <w:sz w:val="20"/>
          <w:szCs w:val="20"/>
        </w:rPr>
        <w:t xml:space="preserve">Der Übergangsbogen ist eine Kurve mit sich stetig veränderndem Radius, der sich beim Übergang aus der Geraden von unendlich bis auf den Radius des anschließenden Kreisbogens vermindert. Besonders vorteilhaft </w:t>
      </w:r>
      <w:r>
        <w:rPr>
          <w:b w:val="false"/>
          <w:sz w:val="20"/>
          <w:szCs w:val="20"/>
        </w:rPr>
        <w:t xml:space="preserve">ist ein </w:t>
      </w:r>
      <w:r>
        <w:rPr>
          <w:b w:val="false"/>
          <w:sz w:val="20"/>
          <w:szCs w:val="20"/>
        </w:rPr>
        <w:t>Übergangsb</w:t>
      </w:r>
      <w:r>
        <w:rPr>
          <w:b w:val="false"/>
          <w:sz w:val="20"/>
          <w:szCs w:val="20"/>
        </w:rPr>
        <w:t>o</w:t>
      </w:r>
      <w:r>
        <w:rPr>
          <w:b w:val="false"/>
          <w:sz w:val="20"/>
          <w:szCs w:val="20"/>
        </w:rPr>
        <w:t xml:space="preserve">gen bei </w:t>
      </w:r>
      <w:r>
        <w:rPr>
          <w:b w:val="false"/>
          <w:sz w:val="20"/>
          <w:szCs w:val="20"/>
        </w:rPr>
        <w:t>einem</w:t>
      </w:r>
      <w:r>
        <w:rPr>
          <w:b w:val="false"/>
          <w:sz w:val="20"/>
          <w:szCs w:val="20"/>
        </w:rPr>
        <w:t xml:space="preserve"> Kreisbogen mit kleinem Radius.</w:t>
      </w:r>
    </w:p>
    <w:p>
      <w:pPr>
        <w:pStyle w:val="Normal"/>
        <w:jc w:val="both"/>
        <w:rPr>
          <w:color w:val="729FCF"/>
        </w:rPr>
      </w:pPr>
      <w:r>
        <w:rPr>
          <w:b w:val="false"/>
          <w:color w:val="729FCF"/>
          <w:sz w:val="20"/>
          <w:szCs w:val="20"/>
        </w:rPr>
        <w:t>Übergangsbögen können auch ganz einfach ‚nach Gefühl‘ ausgeführt werden (Bogen auslaufen lassen).</w:t>
      </w:r>
    </w:p>
    <w:p>
      <w:pPr>
        <w:pStyle w:val="Normal"/>
        <w:jc w:val="both"/>
        <w:rPr/>
      </w:pPr>
      <w:r>
        <w:rPr>
          <w:b w:val="false"/>
          <w:color w:val="729FCF"/>
          <w:sz w:val="20"/>
          <w:szCs w:val="20"/>
        </w:rPr>
        <w:t>Praxistipp für die Herstellung eines Moduls mit Übergangsbogen:</w:t>
      </w:r>
    </w:p>
    <w:p>
      <w:pPr>
        <w:pStyle w:val="Normal"/>
        <w:numPr>
          <w:ilvl w:val="0"/>
          <w:numId w:val="2"/>
        </w:numPr>
        <w:jc w:val="both"/>
        <w:rPr/>
      </w:pPr>
      <w:r>
        <w:rPr>
          <w:b w:val="false"/>
          <w:color w:val="729FCF"/>
          <w:sz w:val="20"/>
          <w:szCs w:val="20"/>
        </w:rPr>
        <w:t>Geplante Gleislage im Mittelbereich des Modul</w:t>
      </w:r>
      <w:r>
        <w:rPr>
          <w:b w:val="false"/>
          <w:color w:val="729FCF"/>
          <w:sz w:val="20"/>
          <w:szCs w:val="20"/>
        </w:rPr>
        <w:t>s</w:t>
      </w:r>
      <w:r>
        <w:rPr>
          <w:b w:val="false"/>
          <w:color w:val="729FCF"/>
          <w:sz w:val="20"/>
          <w:szCs w:val="20"/>
        </w:rPr>
        <w:t xml:space="preserve"> (oder dort, wo der Übergangsbogen anschließen soll) markieren. Wichtig </w:t>
      </w:r>
      <w:r>
        <w:rPr>
          <w:b w:val="false"/>
          <w:color w:val="729FCF"/>
          <w:sz w:val="20"/>
          <w:szCs w:val="20"/>
        </w:rPr>
        <w:t xml:space="preserve">ist </w:t>
      </w:r>
      <w:r>
        <w:rPr>
          <w:b w:val="false"/>
          <w:color w:val="729FCF"/>
          <w:sz w:val="20"/>
          <w:szCs w:val="20"/>
        </w:rPr>
        <w:t>dabei, auch die genaue Gleisrichtung zu markieren.</w:t>
      </w:r>
    </w:p>
    <w:p>
      <w:pPr>
        <w:pStyle w:val="Normal"/>
        <w:numPr>
          <w:ilvl w:val="0"/>
          <w:numId w:val="2"/>
        </w:numPr>
        <w:jc w:val="both"/>
        <w:rPr>
          <w:b w:val="false"/>
          <w:b w:val="false"/>
          <w:color w:val="729FCF"/>
          <w:sz w:val="20"/>
          <w:szCs w:val="20"/>
        </w:rPr>
      </w:pPr>
      <w:r>
        <w:rPr>
          <w:b w:val="false"/>
          <w:color w:val="729FCF"/>
          <w:sz w:val="20"/>
          <w:szCs w:val="20"/>
        </w:rPr>
        <w:t>Flexgleiseenden am Modulende im 90-Grad-Winkel anlöten.</w:t>
      </w:r>
    </w:p>
    <w:p>
      <w:pPr>
        <w:pStyle w:val="Normal"/>
        <w:numPr>
          <w:ilvl w:val="0"/>
          <w:numId w:val="2"/>
        </w:numPr>
        <w:jc w:val="both"/>
        <w:rPr/>
      </w:pPr>
      <w:r>
        <w:rPr>
          <w:b w:val="false"/>
          <w:color w:val="729FCF"/>
          <w:sz w:val="20"/>
          <w:szCs w:val="20"/>
        </w:rPr>
        <w:t xml:space="preserve">Von den Flexgleisenden beginnend, von Hand einen schönen Übergangsbogen formen, Gleislage Stück für Stück mit z.B. Stecknadeln fixieren bis zum Schnittpunkt. </w:t>
      </w:r>
    </w:p>
    <w:p>
      <w:pPr>
        <w:pStyle w:val="Normal"/>
        <w:numPr>
          <w:ilvl w:val="0"/>
          <w:numId w:val="2"/>
        </w:numPr>
        <w:jc w:val="both"/>
        <w:rPr>
          <w:b w:val="false"/>
          <w:b w:val="false"/>
          <w:color w:val="729FCF"/>
          <w:sz w:val="20"/>
          <w:szCs w:val="20"/>
        </w:rPr>
      </w:pPr>
      <w:r>
        <w:rPr>
          <w:b w:val="false"/>
          <w:color w:val="729FCF"/>
          <w:sz w:val="20"/>
          <w:szCs w:val="20"/>
        </w:rPr>
        <w:t>Wenn die gewünschte Form erreicht ist, kann das Flexgleis abgelängt und verklebt werden.</w:t>
      </w:r>
    </w:p>
    <w:p>
      <w:pPr>
        <w:pStyle w:val="Normal"/>
        <w:numPr>
          <w:ilvl w:val="0"/>
          <w:numId w:val="2"/>
        </w:numPr>
        <w:jc w:val="both"/>
        <w:rPr>
          <w:b w:val="false"/>
          <w:b w:val="false"/>
          <w:color w:val="729FCF"/>
          <w:sz w:val="20"/>
          <w:szCs w:val="20"/>
        </w:rPr>
      </w:pPr>
      <w:r>
        <w:rPr>
          <w:b w:val="false"/>
          <w:color w:val="729FCF"/>
          <w:sz w:val="20"/>
          <w:szCs w:val="20"/>
        </w:rPr>
        <w:t>Klingt komplizierter, als es ist. Die ‚handgeschnitzten‘ Übergangsbögen sind meist wesentlich gefälliger als jeder mühsam berechnete Bogen.</w:t>
      </w:r>
    </w:p>
    <w:p>
      <w:pPr>
        <w:pStyle w:val="Berschrift3"/>
        <w:jc w:val="center"/>
        <w:rPr>
          <w:b/>
          <w:b/>
          <w:bCs/>
          <w:sz w:val="20"/>
          <w:szCs w:val="20"/>
        </w:rPr>
      </w:pPr>
      <w:r>
        <w:rPr>
          <w:b/>
          <w:bCs/>
          <w:sz w:val="28"/>
          <w:szCs w:val="28"/>
        </w:rPr>
        <w:t>Bögen und Modulrand</w:t>
      </w:r>
    </w:p>
    <w:p>
      <w:pPr>
        <w:pStyle w:val="Normal"/>
        <w:jc w:val="both"/>
        <w:rPr>
          <w:color w:val="00A933"/>
        </w:rPr>
      </w:pPr>
      <w:r>
        <w:rPr>
          <w:b w:val="false"/>
          <w:color w:val="00A933"/>
          <w:sz w:val="20"/>
          <w:szCs w:val="20"/>
        </w:rPr>
        <w:t>Aus betriebstechnischen und optischen Gründen sollten Bögen nicht direkt am Modulrand beginnen. Ausnahme davon sind Übergangsbögen, bei denen die ersten Zentimeter (20-30) gerade geführt werden.</w:t>
      </w:r>
    </w:p>
    <w:p>
      <w:pPr>
        <w:pStyle w:val="Normal"/>
        <w:jc w:val="both"/>
        <w:rPr/>
      </w:pPr>
      <w:r>
        <w:rPr>
          <w:b w:val="false"/>
          <w:sz w:val="20"/>
          <w:szCs w:val="20"/>
        </w:rPr>
        <w:t xml:space="preserve">Am Modulrand endende Bögen ergeben ‚harte‘ Übergänge, insbesondere dann, wenn unmittelbar ein Gegenbogen anschließt. Dies hat auch auch Betriebsprobleme durch Entgleisen oder Kupplungsverhaken zur Folge." </w:t>
      </w:r>
    </w:p>
    <w:p>
      <w:pPr>
        <w:pStyle w:val="Normal"/>
        <w:jc w:val="both"/>
        <w:rPr/>
      </w:pPr>
      <w:r>
        <w:rPr>
          <w:b w:val="false"/>
          <w:color w:val="00A933"/>
          <w:sz w:val="20"/>
          <w:szCs w:val="20"/>
        </w:rPr>
        <w:t xml:space="preserve">Daher soll eine Gerade von mindestens 60mmvorgesehen oder noch besser ein Übergangsbogen eingebaut werden. </w:t>
      </w:r>
    </w:p>
    <w:p>
      <w:pPr>
        <w:pStyle w:val="Normal"/>
        <w:rPr/>
      </w:pPr>
      <w:r>
        <w:rPr/>
      </w:r>
    </w:p>
    <w:sectPr>
      <w:footerReference w:type="default" r:id="rId4"/>
      <w:type w:val="nextPage"/>
      <w:pgSz w:w="11906" w:h="16838"/>
      <w:pgMar w:left="1134" w:right="964" w:header="0" w:top="225" w:footer="124" w:bottom="737"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rial">
    <w:charset w:val="00"/>
    <w:family w:val="roman"/>
    <w:pitch w:val="variable"/>
  </w:font>
  <w:font w:name="Tahoma">
    <w:charset w:val="00"/>
    <w:family w:val="roman"/>
    <w:pitch w:val="variable"/>
  </w:font>
  <w:font w:name="OpenSymbol">
    <w:altName w:val="Arial Unicode MS"/>
    <w:charset w:val="00"/>
    <w:family w:val="roman"/>
    <w:pitch w:val="variable"/>
  </w:font>
  <w:font w:name="Liberation Sans">
    <w:altName w:val="Arial"/>
    <w:charset w:val="00"/>
    <w:family w:val="roman"/>
    <w:pitch w:val="variable"/>
  </w:font>
  <w:font w:name="OpenSymbol">
    <w:altName w:val="Arial Unicode MS"/>
    <w:charset w:val="01"/>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uzeile"/>
      <w:tabs>
        <w:tab w:val="center" w:pos="4536" w:leader="none"/>
        <w:tab w:val="right" w:pos="9072" w:leader="none"/>
      </w:tabs>
      <w:spacing w:before="120" w:after="0"/>
      <w:rPr>
        <w:b w:val="false"/>
        <w:b w:val="false"/>
        <w:bCs w:val="false"/>
      </w:rPr>
    </w:pPr>
    <w:r>
      <w:rPr>
        <w:b w:val="false"/>
        <w:bCs w:val="false"/>
        <w:sz w:val="24"/>
        <w:lang w:val="de-AT"/>
      </w:rPr>
      <w:t xml:space="preserve">Seite </w:t>
    </w:r>
    <w:r>
      <w:rPr>
        <w:b w:val="false"/>
        <w:bCs w:val="false"/>
        <w:sz w:val="24"/>
        <w:lang w:val="de-AT"/>
      </w:rPr>
      <w:fldChar w:fldCharType="begin"/>
    </w:r>
    <w:r>
      <w:rPr>
        <w:sz w:val="24"/>
        <w:b w:val="false"/>
        <w:bCs w:val="false"/>
      </w:rPr>
      <w:instrText> PAGE </w:instrText>
    </w:r>
    <w:r>
      <w:rPr>
        <w:sz w:val="24"/>
        <w:b w:val="false"/>
        <w:bCs w:val="false"/>
      </w:rPr>
      <w:fldChar w:fldCharType="separate"/>
    </w:r>
    <w:r>
      <w:rPr>
        <w:sz w:val="24"/>
        <w:b w:val="false"/>
        <w:bCs w:val="false"/>
      </w:rPr>
      <w:t>2</w:t>
    </w:r>
    <w:r>
      <w:rPr>
        <w:sz w:val="24"/>
        <w:b w:val="false"/>
        <w:bCs w:val="false"/>
      </w:rPr>
      <w:fldChar w:fldCharType="end"/>
    </w:r>
  </w:p>
  <w:p>
    <w:pPr>
      <w:pStyle w:val="Fuzeile"/>
      <w:rPr>
        <w:lang w:val="de-AT"/>
      </w:rPr>
    </w:pPr>
    <w:r>
      <w:rPr>
        <w:lang w:val="de-AT"/>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720"/>
        </w:tabs>
        <w:ind w:left="720" w:hanging="360"/>
      </w:pPr>
      <w:rPr>
        <w:rFonts w:ascii="Symbol" w:hAnsi="Symbol" w:cs="Symbol" w:hint="default"/>
        <w:sz w:val="20"/>
        <w:b w:val="false"/>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2">
    <w:lvl w:ilvl="0">
      <w:start w:val="1"/>
      <w:numFmt w:val="bullet"/>
      <w:lvlText w:val=""/>
      <w:lvlJc w:val="left"/>
      <w:pPr>
        <w:tabs>
          <w:tab w:val="num" w:pos="720"/>
        </w:tabs>
        <w:ind w:left="720" w:hanging="360"/>
      </w:pPr>
      <w:rPr>
        <w:rFonts w:ascii="Symbol" w:hAnsi="Symbol" w:cs="Symbol" w:hint="default"/>
        <w:sz w:val="20"/>
        <w:b w:val="false"/>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3">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efaultTabStop w:val="709"/>
  <w:autoHyphenation w:val="true"/>
  <w:compat/>
  <w:themeFontLang w:val="de-AT"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de-AT" w:eastAsia="de-AT" w:bidi="ar-SA"/>
      </w:rPr>
    </w:rPrDefault>
    <w:pPrDefault>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atentStyles>
  <w:style w:type="paragraph" w:styleId="Normal" w:default="1">
    <w:name w:val="Normal"/>
    <w:qFormat/>
    <w:rsid w:val="00115b60"/>
    <w:pPr>
      <w:widowControl/>
      <w:suppressAutoHyphens w:val="false"/>
      <w:bidi w:val="0"/>
      <w:spacing w:before="120" w:after="0"/>
      <w:jc w:val="center"/>
    </w:pPr>
    <w:rPr>
      <w:rFonts w:ascii="Arial" w:hAnsi="Arial" w:eastAsia="Times New Roman" w:cs="Arial"/>
      <w:b/>
      <w:color w:val="auto"/>
      <w:kern w:val="0"/>
      <w:sz w:val="36"/>
      <w:szCs w:val="36"/>
      <w:lang w:val="de-DE" w:eastAsia="de-DE" w:bidi="ar-SA"/>
    </w:rPr>
  </w:style>
  <w:style w:type="paragraph" w:styleId="Berschrift1">
    <w:name w:val="Heading 1"/>
    <w:basedOn w:val="Normal"/>
    <w:next w:val="Normal"/>
    <w:qFormat/>
    <w:rsid w:val="00fb3dfb"/>
    <w:pPr>
      <w:keepNext w:val="true"/>
      <w:spacing w:before="240" w:after="60"/>
      <w:outlineLvl w:val="0"/>
    </w:pPr>
    <w:rPr>
      <w:bCs/>
      <w:kern w:val="2"/>
      <w:sz w:val="32"/>
      <w:szCs w:val="32"/>
    </w:rPr>
  </w:style>
  <w:style w:type="paragraph" w:styleId="Berschrift2">
    <w:name w:val="Heading 2"/>
    <w:basedOn w:val="Normal"/>
    <w:next w:val="Normal"/>
    <w:qFormat/>
    <w:rsid w:val="00846711"/>
    <w:pPr>
      <w:keepNext w:val="true"/>
      <w:spacing w:before="240" w:after="60"/>
      <w:outlineLvl w:val="1"/>
    </w:pPr>
    <w:rPr>
      <w:bCs/>
      <w:i/>
      <w:iCs/>
      <w:sz w:val="28"/>
      <w:szCs w:val="28"/>
    </w:rPr>
  </w:style>
  <w:style w:type="paragraph" w:styleId="Berschrift3">
    <w:name w:val="Heading 3"/>
    <w:basedOn w:val="Normal"/>
    <w:next w:val="Normal"/>
    <w:qFormat/>
    <w:rsid w:val="00fb3dfb"/>
    <w:pPr>
      <w:keepNext w:val="true"/>
      <w:spacing w:before="240" w:after="60"/>
      <w:outlineLvl w:val="2"/>
    </w:pPr>
    <w:rPr>
      <w:bCs/>
      <w:sz w:val="26"/>
      <w:szCs w:val="26"/>
    </w:rPr>
  </w:style>
  <w:style w:type="character" w:styleId="DefaultParagraphFont" w:default="1">
    <w:name w:val="Default Paragraph Font"/>
    <w:uiPriority w:val="1"/>
    <w:semiHidden/>
    <w:unhideWhenUsed/>
    <w:qFormat/>
    <w:rPr/>
  </w:style>
  <w:style w:type="character" w:styleId="Pagenumber">
    <w:name w:val="page number"/>
    <w:basedOn w:val="DefaultParagraphFont"/>
    <w:qFormat/>
    <w:rsid w:val="00a919fc"/>
    <w:rPr/>
  </w:style>
  <w:style w:type="character" w:styleId="SprechblasentextZchn" w:customStyle="1">
    <w:name w:val="Sprechblasentext Zchn"/>
    <w:link w:val="Sprechblasentext"/>
    <w:qFormat/>
    <w:rsid w:val="00544f95"/>
    <w:rPr>
      <w:rFonts w:ascii="Tahoma" w:hAnsi="Tahoma" w:cs="Tahoma"/>
      <w:sz w:val="16"/>
      <w:szCs w:val="16"/>
    </w:rPr>
  </w:style>
  <w:style w:type="character" w:styleId="KopfzeileZchn" w:customStyle="1">
    <w:name w:val="Kopfzeile Zchn"/>
    <w:link w:val="Kopfzeile"/>
    <w:uiPriority w:val="99"/>
    <w:qFormat/>
    <w:rsid w:val="00bd205e"/>
    <w:rPr>
      <w:sz w:val="24"/>
      <w:szCs w:val="24"/>
    </w:rPr>
  </w:style>
  <w:style w:type="character" w:styleId="Annotationreference">
    <w:name w:val="annotation reference"/>
    <w:basedOn w:val="DefaultParagraphFont"/>
    <w:qFormat/>
    <w:rsid w:val="004f3554"/>
    <w:rPr>
      <w:sz w:val="16"/>
      <w:szCs w:val="16"/>
    </w:rPr>
  </w:style>
  <w:style w:type="character" w:styleId="KommentartextZchn" w:customStyle="1">
    <w:name w:val="Kommentartext Zchn"/>
    <w:basedOn w:val="DefaultParagraphFont"/>
    <w:link w:val="Kommentartext"/>
    <w:qFormat/>
    <w:rsid w:val="004f3554"/>
    <w:rPr>
      <w:lang w:val="de-DE" w:eastAsia="de-DE"/>
    </w:rPr>
  </w:style>
  <w:style w:type="character" w:styleId="KommentarthemaZchn" w:customStyle="1">
    <w:name w:val="Kommentarthema Zchn"/>
    <w:basedOn w:val="KommentartextZchn"/>
    <w:link w:val="Kommentarthema"/>
    <w:qFormat/>
    <w:rsid w:val="004f3554"/>
    <w:rPr>
      <w:b/>
      <w:bCs/>
    </w:rPr>
  </w:style>
  <w:style w:type="character" w:styleId="Internetverknpfung">
    <w:name w:val="Internetverknüpfung"/>
    <w:basedOn w:val="DefaultParagraphFont"/>
    <w:rsid w:val="00f72099"/>
    <w:rPr>
      <w:color w:val="0000FF" w:themeColor="hyperlink"/>
      <w:u w:val="single"/>
    </w:rPr>
  </w:style>
  <w:style w:type="character" w:styleId="ListLabel1">
    <w:name w:val="ListLabel 1"/>
    <w:qFormat/>
    <w:rPr>
      <w:rFonts w:cs="Courier New"/>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vertAlign w:val="superscript"/>
    </w:rPr>
  </w:style>
  <w:style w:type="character" w:styleId="ListLabel5">
    <w:name w:val="ListLabel 5"/>
    <w:qFormat/>
    <w:rPr>
      <w:rFonts w:eastAsia="Times New Roman" w:cs="Times New Roman"/>
    </w:rPr>
  </w:style>
  <w:style w:type="character" w:styleId="ListLabel6">
    <w:name w:val="ListLabel 6"/>
    <w:qFormat/>
    <w:rPr>
      <w:rFonts w:cs="Courier New"/>
    </w:rPr>
  </w:style>
  <w:style w:type="character" w:styleId="ListLabel7">
    <w:name w:val="ListLabel 7"/>
    <w:qFormat/>
    <w:rPr>
      <w:rFonts w:cs="Courier New"/>
    </w:rPr>
  </w:style>
  <w:style w:type="character" w:styleId="ListLabel8">
    <w:name w:val="ListLabel 8"/>
    <w:qFormat/>
    <w:rPr>
      <w:rFonts w:cs="Courier New"/>
    </w:rPr>
  </w:style>
  <w:style w:type="character" w:styleId="ListLabel9">
    <w:name w:val="ListLabel 9"/>
    <w:qFormat/>
    <w:rPr>
      <w:rFonts w:cs="Courier New"/>
    </w:rPr>
  </w:style>
  <w:style w:type="character" w:styleId="ListLabel10">
    <w:name w:val="ListLabel 10"/>
    <w:qFormat/>
    <w:rPr>
      <w:rFonts w:cs="Courier New"/>
    </w:rPr>
  </w:style>
  <w:style w:type="character" w:styleId="ListLabel11">
    <w:name w:val="ListLabel 11"/>
    <w:qFormat/>
    <w:rPr>
      <w:rFonts w:cs="Courier New"/>
    </w:rPr>
  </w:style>
  <w:style w:type="character" w:styleId="ListLabel12">
    <w:name w:val="ListLabel 12"/>
    <w:qFormat/>
    <w:rPr>
      <w:rFonts w:cs="Courier New"/>
    </w:rPr>
  </w:style>
  <w:style w:type="character" w:styleId="ListLabel13">
    <w:name w:val="ListLabel 13"/>
    <w:qFormat/>
    <w:rPr>
      <w:rFonts w:cs="Courier New"/>
    </w:rPr>
  </w:style>
  <w:style w:type="character" w:styleId="ListLabel14">
    <w:name w:val="ListLabel 14"/>
    <w:qFormat/>
    <w:rPr>
      <w:rFonts w:cs="Courier New"/>
    </w:rPr>
  </w:style>
  <w:style w:type="character" w:styleId="ListLabel15">
    <w:name w:val="ListLabel 15"/>
    <w:qFormat/>
    <w:rPr>
      <w:rFonts w:cs="Courier New"/>
    </w:rPr>
  </w:style>
  <w:style w:type="character" w:styleId="ListLabel16">
    <w:name w:val="ListLabel 16"/>
    <w:qFormat/>
    <w:rPr>
      <w:rFonts w:cs="Courier New"/>
    </w:rPr>
  </w:style>
  <w:style w:type="character" w:styleId="ListLabel17">
    <w:name w:val="ListLabel 17"/>
    <w:qFormat/>
    <w:rPr>
      <w:rFonts w:cs="Courier New"/>
    </w:rPr>
  </w:style>
  <w:style w:type="character" w:styleId="ListLabel18">
    <w:name w:val="ListLabel 18"/>
    <w:qFormat/>
    <w:rPr>
      <w:rFonts w:cs="Courier New"/>
    </w:rPr>
  </w:style>
  <w:style w:type="character" w:styleId="ListLabel19">
    <w:name w:val="ListLabel 19"/>
    <w:qFormat/>
    <w:rPr>
      <w:rFonts w:cs="Courier New"/>
    </w:rPr>
  </w:style>
  <w:style w:type="character" w:styleId="ListLabel20">
    <w:name w:val="ListLabel 20"/>
    <w:qFormat/>
    <w:rPr>
      <w:rFonts w:cs="Courier New"/>
    </w:rPr>
  </w:style>
  <w:style w:type="character" w:styleId="ListLabel21">
    <w:name w:val="ListLabel 21"/>
    <w:qFormat/>
    <w:rPr>
      <w:rFonts w:cs="Courier New"/>
    </w:rPr>
  </w:style>
  <w:style w:type="character" w:styleId="ListLabel22">
    <w:name w:val="ListLabel 22"/>
    <w:qFormat/>
    <w:rPr>
      <w:rFonts w:cs="Courier New"/>
    </w:rPr>
  </w:style>
  <w:style w:type="character" w:styleId="ListLabel23">
    <w:name w:val="ListLabel 23"/>
    <w:qFormat/>
    <w:rPr>
      <w:rFonts w:cs="Courier New"/>
    </w:rPr>
  </w:style>
  <w:style w:type="character" w:styleId="ListLabel24">
    <w:name w:val="ListLabel 24"/>
    <w:qFormat/>
    <w:rPr>
      <w:rFonts w:cs="Courier New"/>
    </w:rPr>
  </w:style>
  <w:style w:type="character" w:styleId="ListLabel25">
    <w:name w:val="ListLabel 25"/>
    <w:qFormat/>
    <w:rPr>
      <w:rFonts w:cs="Courier New"/>
    </w:rPr>
  </w:style>
  <w:style w:type="character" w:styleId="ListLabel26">
    <w:name w:val="ListLabel 26"/>
    <w:qFormat/>
    <w:rPr>
      <w:rFonts w:cs="Courier New"/>
    </w:rPr>
  </w:style>
  <w:style w:type="character" w:styleId="ListLabel27">
    <w:name w:val="ListLabel 27"/>
    <w:qFormat/>
    <w:rPr>
      <w:rFonts w:cs="Courier New"/>
    </w:rPr>
  </w:style>
  <w:style w:type="character" w:styleId="ListLabel28">
    <w:name w:val="ListLabel 28"/>
    <w:qFormat/>
    <w:rPr>
      <w:rFonts w:cs="Courier New"/>
    </w:rPr>
  </w:style>
  <w:style w:type="character" w:styleId="ListLabel29">
    <w:name w:val="ListLabel 29"/>
    <w:qFormat/>
    <w:rPr>
      <w:rFonts w:cs="Courier New"/>
    </w:rPr>
  </w:style>
  <w:style w:type="character" w:styleId="ListLabel30">
    <w:name w:val="ListLabel 30"/>
    <w:qFormat/>
    <w:rPr>
      <w:rFonts w:eastAsia="Times New Roman" w:cs="Times New Roman"/>
    </w:rPr>
  </w:style>
  <w:style w:type="character" w:styleId="ListLabel31">
    <w:name w:val="ListLabel 31"/>
    <w:qFormat/>
    <w:rPr>
      <w:rFonts w:cs="Courier New"/>
    </w:rPr>
  </w:style>
  <w:style w:type="character" w:styleId="ListLabel32">
    <w:name w:val="ListLabel 32"/>
    <w:qFormat/>
    <w:rPr>
      <w:rFonts w:cs="Courier New"/>
    </w:rPr>
  </w:style>
  <w:style w:type="character" w:styleId="ListLabel33">
    <w:name w:val="ListLabel 33"/>
    <w:qFormat/>
    <w:rPr>
      <w:rFonts w:cs="Courier New"/>
    </w:rPr>
  </w:style>
  <w:style w:type="character" w:styleId="ListLabel34">
    <w:name w:val="ListLabel 34"/>
    <w:qFormat/>
    <w:rPr>
      <w:rFonts w:cs="Courier New"/>
    </w:rPr>
  </w:style>
  <w:style w:type="character" w:styleId="ListLabel35">
    <w:name w:val="ListLabel 35"/>
    <w:qFormat/>
    <w:rPr>
      <w:rFonts w:cs="Courier New"/>
    </w:rPr>
  </w:style>
  <w:style w:type="character" w:styleId="ListLabel36">
    <w:name w:val="ListLabel 36"/>
    <w:qFormat/>
    <w:rPr>
      <w:rFonts w:cs="Courier New"/>
    </w:rPr>
  </w:style>
  <w:style w:type="character" w:styleId="ListLabel37">
    <w:name w:val="ListLabel 37"/>
    <w:qFormat/>
    <w:rPr>
      <w:rFonts w:cs="Courier New"/>
    </w:rPr>
  </w:style>
  <w:style w:type="character" w:styleId="ListLabel38">
    <w:name w:val="ListLabel 38"/>
    <w:qFormat/>
    <w:rPr>
      <w:rFonts w:cs="Courier New"/>
    </w:rPr>
  </w:style>
  <w:style w:type="character" w:styleId="ListLabel39">
    <w:name w:val="ListLabel 39"/>
    <w:qFormat/>
    <w:rPr>
      <w:rFonts w:cs="Courier New"/>
    </w:rPr>
  </w:style>
  <w:style w:type="character" w:styleId="ListLabel40">
    <w:name w:val="ListLabel 40"/>
    <w:qFormat/>
    <w:rPr>
      <w:rFonts w:cs="Courier New"/>
    </w:rPr>
  </w:style>
  <w:style w:type="character" w:styleId="ListLabel41">
    <w:name w:val="ListLabel 41"/>
    <w:qFormat/>
    <w:rPr>
      <w:rFonts w:cs="Courier New"/>
    </w:rPr>
  </w:style>
  <w:style w:type="character" w:styleId="ListLabel42">
    <w:name w:val="ListLabel 42"/>
    <w:qFormat/>
    <w:rPr>
      <w:rFonts w:cs="Courier New"/>
    </w:rPr>
  </w:style>
  <w:style w:type="character" w:styleId="ListLabel43">
    <w:name w:val="ListLabel 43"/>
    <w:qFormat/>
    <w:rPr>
      <w:rFonts w:cs="Courier New"/>
    </w:rPr>
  </w:style>
  <w:style w:type="character" w:styleId="ListLabel44">
    <w:name w:val="ListLabel 44"/>
    <w:qFormat/>
    <w:rPr>
      <w:rFonts w:cs="Courier New"/>
    </w:rPr>
  </w:style>
  <w:style w:type="character" w:styleId="ListLabel45">
    <w:name w:val="ListLabel 45"/>
    <w:qFormat/>
    <w:rPr>
      <w:rFonts w:cs="Courier New"/>
    </w:rPr>
  </w:style>
  <w:style w:type="character" w:styleId="ListLabel46">
    <w:name w:val="ListLabel 46"/>
    <w:qFormat/>
    <w:rPr>
      <w:rFonts w:cs="Courier New"/>
    </w:rPr>
  </w:style>
  <w:style w:type="character" w:styleId="ListLabel47">
    <w:name w:val="ListLabel 47"/>
    <w:qFormat/>
    <w:rPr>
      <w:rFonts w:cs="Courier New"/>
    </w:rPr>
  </w:style>
  <w:style w:type="character" w:styleId="ListLabel48">
    <w:name w:val="ListLabel 48"/>
    <w:qFormat/>
    <w:rPr>
      <w:rFonts w:cs="Courier New"/>
    </w:rPr>
  </w:style>
  <w:style w:type="character" w:styleId="ListLabel49">
    <w:name w:val="ListLabel 49"/>
    <w:qFormat/>
    <w:rPr>
      <w:rFonts w:eastAsia="Times New Roman" w:cs="Times New Roman"/>
    </w:rPr>
  </w:style>
  <w:style w:type="character" w:styleId="ListLabel50">
    <w:name w:val="ListLabel 50"/>
    <w:qFormat/>
    <w:rPr>
      <w:rFonts w:eastAsia="Times New Roman" w:cs="Arial"/>
    </w:rPr>
  </w:style>
  <w:style w:type="character" w:styleId="ListLabel51">
    <w:name w:val="ListLabel 51"/>
    <w:qFormat/>
    <w:rPr>
      <w:rFonts w:cs="Courier New"/>
    </w:rPr>
  </w:style>
  <w:style w:type="character" w:styleId="ListLabel52">
    <w:name w:val="ListLabel 52"/>
    <w:qFormat/>
    <w:rPr>
      <w:rFonts w:cs="Courier New"/>
    </w:rPr>
  </w:style>
  <w:style w:type="character" w:styleId="ListLabel53">
    <w:name w:val="ListLabel 53"/>
    <w:qFormat/>
    <w:rPr>
      <w:rFonts w:cs="Courier New"/>
    </w:rPr>
  </w:style>
  <w:style w:type="character" w:styleId="ListLabel54">
    <w:name w:val="ListLabel 54"/>
    <w:qFormat/>
    <w:rPr>
      <w:rFonts w:eastAsia="Times New Roman" w:cs="Arial"/>
    </w:rPr>
  </w:style>
  <w:style w:type="character" w:styleId="ListLabel55">
    <w:name w:val="ListLabel 55"/>
    <w:qFormat/>
    <w:rPr>
      <w:rFonts w:cs="Courier New"/>
    </w:rPr>
  </w:style>
  <w:style w:type="character" w:styleId="ListLabel56">
    <w:name w:val="ListLabel 56"/>
    <w:qFormat/>
    <w:rPr>
      <w:rFonts w:cs="Courier New"/>
    </w:rPr>
  </w:style>
  <w:style w:type="character" w:styleId="ListLabel57">
    <w:name w:val="ListLabel 57"/>
    <w:qFormat/>
    <w:rPr>
      <w:rFonts w:cs="Courier New"/>
    </w:rPr>
  </w:style>
  <w:style w:type="character" w:styleId="ListLabel58">
    <w:name w:val="ListLabel 58"/>
    <w:qFormat/>
    <w:rPr>
      <w:rFonts w:cs="Courier New"/>
    </w:rPr>
  </w:style>
  <w:style w:type="character" w:styleId="ListLabel59">
    <w:name w:val="ListLabel 59"/>
    <w:qFormat/>
    <w:rPr>
      <w:rFonts w:cs="Courier New"/>
    </w:rPr>
  </w:style>
  <w:style w:type="character" w:styleId="ListLabel60">
    <w:name w:val="ListLabel 60"/>
    <w:qFormat/>
    <w:rPr>
      <w:rFonts w:cs="Courier New"/>
    </w:rPr>
  </w:style>
  <w:style w:type="character" w:styleId="Aufzhlungszeichen">
    <w:name w:val="Aufzählungszeichen"/>
    <w:qFormat/>
    <w:rPr>
      <w:rFonts w:ascii="OpenSymbol" w:hAnsi="OpenSymbol" w:eastAsia="OpenSymbol" w:cs="OpenSymbol"/>
    </w:rPr>
  </w:style>
  <w:style w:type="character" w:styleId="ListLabel61">
    <w:name w:val="ListLabel 61"/>
    <w:qFormat/>
    <w:rPr>
      <w:rFonts w:cs="OpenSymbol"/>
      <w:b w:val="false"/>
      <w:sz w:val="20"/>
    </w:rPr>
  </w:style>
  <w:style w:type="character" w:styleId="ListLabel62">
    <w:name w:val="ListLabel 62"/>
    <w:qFormat/>
    <w:rPr>
      <w:rFonts w:cs="OpenSymbol"/>
    </w:rPr>
  </w:style>
  <w:style w:type="character" w:styleId="ListLabel63">
    <w:name w:val="ListLabel 63"/>
    <w:qFormat/>
    <w:rPr>
      <w:rFonts w:cs="OpenSymbol"/>
    </w:rPr>
  </w:style>
  <w:style w:type="character" w:styleId="ListLabel64">
    <w:name w:val="ListLabel 64"/>
    <w:qFormat/>
    <w:rPr>
      <w:rFonts w:cs="OpenSymbol"/>
    </w:rPr>
  </w:style>
  <w:style w:type="character" w:styleId="ListLabel65">
    <w:name w:val="ListLabel 65"/>
    <w:qFormat/>
    <w:rPr>
      <w:rFonts w:cs="OpenSymbol"/>
    </w:rPr>
  </w:style>
  <w:style w:type="character" w:styleId="ListLabel66">
    <w:name w:val="ListLabel 66"/>
    <w:qFormat/>
    <w:rPr>
      <w:rFonts w:cs="OpenSymbol"/>
    </w:rPr>
  </w:style>
  <w:style w:type="character" w:styleId="ListLabel67">
    <w:name w:val="ListLabel 67"/>
    <w:qFormat/>
    <w:rPr>
      <w:rFonts w:cs="OpenSymbol"/>
    </w:rPr>
  </w:style>
  <w:style w:type="character" w:styleId="ListLabel68">
    <w:name w:val="ListLabel 68"/>
    <w:qFormat/>
    <w:rPr>
      <w:rFonts w:cs="OpenSymbol"/>
    </w:rPr>
  </w:style>
  <w:style w:type="character" w:styleId="ListLabel69">
    <w:name w:val="ListLabel 69"/>
    <w:qFormat/>
    <w:rPr>
      <w:rFonts w:cs="OpenSymbol"/>
    </w:rPr>
  </w:style>
  <w:style w:type="character" w:styleId="ListLabel70">
    <w:name w:val="ListLabel 70"/>
    <w:qFormat/>
    <w:rPr>
      <w:rFonts w:cs="OpenSymbol"/>
      <w:b w:val="false"/>
      <w:sz w:val="20"/>
    </w:rPr>
  </w:style>
  <w:style w:type="character" w:styleId="ListLabel71">
    <w:name w:val="ListLabel 71"/>
    <w:qFormat/>
    <w:rPr>
      <w:rFonts w:cs="OpenSymbol"/>
    </w:rPr>
  </w:style>
  <w:style w:type="character" w:styleId="ListLabel72">
    <w:name w:val="ListLabel 72"/>
    <w:qFormat/>
    <w:rPr>
      <w:rFonts w:cs="OpenSymbol"/>
    </w:rPr>
  </w:style>
  <w:style w:type="character" w:styleId="ListLabel73">
    <w:name w:val="ListLabel 73"/>
    <w:qFormat/>
    <w:rPr>
      <w:rFonts w:cs="OpenSymbol"/>
    </w:rPr>
  </w:style>
  <w:style w:type="character" w:styleId="ListLabel74">
    <w:name w:val="ListLabel 74"/>
    <w:qFormat/>
    <w:rPr>
      <w:rFonts w:cs="OpenSymbol"/>
    </w:rPr>
  </w:style>
  <w:style w:type="character" w:styleId="ListLabel75">
    <w:name w:val="ListLabel 75"/>
    <w:qFormat/>
    <w:rPr>
      <w:rFonts w:cs="OpenSymbol"/>
    </w:rPr>
  </w:style>
  <w:style w:type="character" w:styleId="ListLabel76">
    <w:name w:val="ListLabel 76"/>
    <w:qFormat/>
    <w:rPr>
      <w:rFonts w:cs="OpenSymbol"/>
    </w:rPr>
  </w:style>
  <w:style w:type="character" w:styleId="ListLabel77">
    <w:name w:val="ListLabel 77"/>
    <w:qFormat/>
    <w:rPr>
      <w:rFonts w:cs="OpenSymbol"/>
    </w:rPr>
  </w:style>
  <w:style w:type="character" w:styleId="ListLabel78">
    <w:name w:val="ListLabel 78"/>
    <w:qFormat/>
    <w:rPr>
      <w:rFonts w:cs="OpenSymbol"/>
    </w:rPr>
  </w:style>
  <w:style w:type="paragraph" w:styleId="Berschrift">
    <w:name w:val="Überschrift"/>
    <w:basedOn w:val="Normal"/>
    <w:next w:val="Textkrper"/>
    <w:qFormat/>
    <w:pPr>
      <w:keepNext w:val="true"/>
      <w:spacing w:before="240" w:after="120"/>
    </w:pPr>
    <w:rPr>
      <w:rFonts w:ascii="Liberation Sans" w:hAnsi="Liberation Sans" w:eastAsia="Microsoft YaHei" w:cs="Lucida Sans"/>
      <w:sz w:val="28"/>
      <w:szCs w:val="28"/>
    </w:rPr>
  </w:style>
  <w:style w:type="paragraph" w:styleId="Textkrper">
    <w:name w:val="Body Text"/>
    <w:basedOn w:val="Normal"/>
    <w:pPr>
      <w:spacing w:lineRule="auto" w:line="276" w:before="0" w:after="140"/>
    </w:pPr>
    <w:rPr/>
  </w:style>
  <w:style w:type="paragraph" w:styleId="Liste">
    <w:name w:val="List"/>
    <w:basedOn w:val="Textkrper"/>
    <w:pPr/>
    <w:rPr>
      <w:rFonts w:cs="Lucida Sans"/>
    </w:rPr>
  </w:style>
  <w:style w:type="paragraph" w:styleId="Beschriftung">
    <w:name w:val="Caption"/>
    <w:basedOn w:val="Normal"/>
    <w:qFormat/>
    <w:pPr>
      <w:suppressLineNumbers/>
      <w:spacing w:before="120" w:after="120"/>
    </w:pPr>
    <w:rPr>
      <w:rFonts w:cs="Lucida Sans"/>
      <w:i/>
      <w:iCs/>
      <w:sz w:val="24"/>
      <w:szCs w:val="24"/>
    </w:rPr>
  </w:style>
  <w:style w:type="paragraph" w:styleId="Verzeichnis">
    <w:name w:val="Verzeichnis"/>
    <w:basedOn w:val="Normal"/>
    <w:qFormat/>
    <w:pPr>
      <w:suppressLineNumbers/>
    </w:pPr>
    <w:rPr>
      <w:rFonts w:cs="Lucida Sans"/>
    </w:rPr>
  </w:style>
  <w:style w:type="paragraph" w:styleId="Kopfzeile">
    <w:name w:val="Header"/>
    <w:basedOn w:val="Normal"/>
    <w:link w:val="KopfzeileZchn"/>
    <w:uiPriority w:val="99"/>
    <w:rsid w:val="00a919fc"/>
    <w:pPr>
      <w:tabs>
        <w:tab w:val="clear" w:pos="709"/>
        <w:tab w:val="center" w:pos="4536" w:leader="none"/>
        <w:tab w:val="right" w:pos="9072" w:leader="none"/>
      </w:tabs>
    </w:pPr>
    <w:rPr/>
  </w:style>
  <w:style w:type="paragraph" w:styleId="Fuzeile">
    <w:name w:val="Footer"/>
    <w:basedOn w:val="Normal"/>
    <w:rsid w:val="00a919fc"/>
    <w:pPr>
      <w:tabs>
        <w:tab w:val="clear" w:pos="709"/>
        <w:tab w:val="center" w:pos="4536" w:leader="none"/>
        <w:tab w:val="right" w:pos="9072" w:leader="none"/>
      </w:tabs>
    </w:pPr>
    <w:rPr/>
  </w:style>
  <w:style w:type="paragraph" w:styleId="ListParagraph">
    <w:name w:val="List Paragraph"/>
    <w:basedOn w:val="Normal"/>
    <w:uiPriority w:val="34"/>
    <w:qFormat/>
    <w:rsid w:val="003d53cb"/>
    <w:pPr>
      <w:ind w:left="708" w:hanging="0"/>
    </w:pPr>
    <w:rPr/>
  </w:style>
  <w:style w:type="paragraph" w:styleId="BalloonText">
    <w:name w:val="Balloon Text"/>
    <w:basedOn w:val="Normal"/>
    <w:link w:val="SprechblasentextZchn"/>
    <w:qFormat/>
    <w:rsid w:val="00544f95"/>
    <w:pPr/>
    <w:rPr>
      <w:rFonts w:ascii="Tahoma" w:hAnsi="Tahoma"/>
      <w:sz w:val="16"/>
      <w:szCs w:val="16"/>
    </w:rPr>
  </w:style>
  <w:style w:type="paragraph" w:styleId="NormalWeb">
    <w:name w:val="Normal (Web)"/>
    <w:basedOn w:val="Normal"/>
    <w:uiPriority w:val="99"/>
    <w:unhideWhenUsed/>
    <w:qFormat/>
    <w:rsid w:val="00103bfe"/>
    <w:pPr>
      <w:spacing w:beforeAutospacing="1" w:afterAutospacing="1"/>
    </w:pPr>
    <w:rPr/>
  </w:style>
  <w:style w:type="paragraph" w:styleId="Annotationtext">
    <w:name w:val="annotation text"/>
    <w:basedOn w:val="Normal"/>
    <w:link w:val="KommentartextZchn"/>
    <w:qFormat/>
    <w:rsid w:val="004f3554"/>
    <w:pPr/>
    <w:rPr>
      <w:sz w:val="20"/>
      <w:szCs w:val="20"/>
    </w:rPr>
  </w:style>
  <w:style w:type="paragraph" w:styleId="Annotationsubject">
    <w:name w:val="annotation subject"/>
    <w:basedOn w:val="Annotationtext"/>
    <w:next w:val="Annotationtext"/>
    <w:link w:val="KommentarthemaZchn"/>
    <w:qFormat/>
    <w:rsid w:val="004f3554"/>
    <w:pPr/>
    <w:rPr>
      <w:bCs/>
    </w:rPr>
  </w:style>
  <w:style w:type="numbering" w:styleId="NoList" w:default="1">
    <w:name w:val="No List"/>
    <w:uiPriority w:val="99"/>
    <w:semiHidden/>
    <w:unhideWhenUsed/>
    <w:qFormat/>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table" w:customStyle="1" w:styleId="Tabellenraster">
    <w:name w:val="Tabellenraster"/>
    <w:basedOn w:val="NormaleTabelle"/>
    <w:rsid w:val="0077437f"/>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Relationship Id="rId9" Type="http://schemas.openxmlformats.org/officeDocument/2006/relationships/customXml" Target="../customXml/item1.xml"/>
</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9A162E-0C9F-448F-A4FC-78655356BF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931</TotalTime>
  <Application>LibreOffice/6.1.5.2$Windows_X86_64 LibreOffice_project/90f8dcf33c87b3705e78202e3df5142b201bd805</Application>
  <Pages>2</Pages>
  <Words>542</Words>
  <Characters>3589</Characters>
  <CharactersWithSpaces>4122</CharactersWithSpaces>
  <Paragraphs>34</Paragraphs>
  <Company>privat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2016-05-25T15:30:00Z</dcterms:created>
  <dc:creator>Michael Sengstschmid</dc:creator>
  <dc:description/>
  <dc:language>de-AT</dc:language>
  <cp:lastModifiedBy/>
  <cp:lastPrinted>2021-03-28T23:19:10Z</cp:lastPrinted>
  <dcterms:modified xsi:type="dcterms:W3CDTF">2021-03-28T23:19:29Z</dcterms:modified>
  <cp:revision>12</cp:revision>
  <dc:subject/>
  <dc:title>Modulsystem Modellbahngruppe Haag</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privat</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y fmtid="{D5CDD505-2E9C-101B-9397-08002B2CF9AE}" pid="9" name="category">
    <vt:lpwstr>Modelleisenbahn HOe</vt:lpwstr>
  </property>
</Properties>
</file>