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2"/>
        <w:gridCol w:w="1607"/>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2"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b w:val="false"/>
                <w:b w:val="false"/>
                <w:sz w:val="28"/>
                <w:szCs w:val="28"/>
              </w:rPr>
            </w:pPr>
            <w:r>
              <w:rPr>
                <w:b w:val="false"/>
                <w:sz w:val="28"/>
                <w:szCs w:val="28"/>
              </w:rPr>
              <w:t>Schmalspur Modulbaugruppe</w:t>
            </w:r>
          </w:p>
          <w:p>
            <w:pPr>
              <w:pStyle w:val="Normal"/>
              <w:rPr/>
            </w:pPr>
            <w:r>
              <w:rPr>
                <w:b w:val="false"/>
                <w:sz w:val="28"/>
                <w:szCs w:val="28"/>
              </w:rPr>
              <w:t>Modulhandbuch 2.0</w:t>
            </w:r>
            <w:r>
              <w:rPr/>
              <w:t xml:space="preserve"> </w:t>
            </w:r>
          </w:p>
          <w:p>
            <w:pPr>
              <w:pStyle w:val="Normal"/>
              <w:rPr/>
            </w:pPr>
            <w:r>
              <w:rPr/>
              <w:t>Gleiskörper</w:t>
            </w:r>
            <w:r>
              <w:rPr>
                <w:b w:val="false"/>
                <w:sz w:val="20"/>
                <w:szCs w:val="20"/>
              </w:rPr>
              <w:t xml:space="preserve"> </w:t>
            </w:r>
          </w:p>
        </w:tc>
        <w:tc>
          <w:tcPr>
            <w:tcW w:w="1607"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spacing w:before="120" w:after="0"/>
              <w:rPr/>
            </w:pPr>
            <w:r>
              <w:rPr>
                <w:b w:val="false"/>
                <w:sz w:val="24"/>
                <w:szCs w:val="24"/>
              </w:rPr>
              <w:t>Version 1.</w:t>
            </w:r>
            <w:r>
              <w:rPr>
                <w:b w:val="false"/>
                <w:sz w:val="24"/>
                <w:szCs w:val="24"/>
              </w:rPr>
              <w:t>1</w:t>
            </w:r>
          </w:p>
          <w:p>
            <w:pPr>
              <w:pStyle w:val="Normal"/>
              <w:rPr>
                <w:sz w:val="24"/>
                <w:szCs w:val="24"/>
              </w:rPr>
            </w:pPr>
            <w:r>
              <w:rPr>
                <w:b w:val="false"/>
                <w:sz w:val="24"/>
                <w:szCs w:val="24"/>
              </w:rPr>
              <w:t>(3-2021)</w:t>
            </w:r>
          </w:p>
          <w:p>
            <w:pPr>
              <w:pStyle w:val="Normal"/>
              <w:rPr>
                <w:sz w:val="24"/>
                <w:szCs w:val="24"/>
              </w:rPr>
            </w:pPr>
            <w:r>
              <w:rPr>
                <w:b w:val="false"/>
                <w:sz w:val="24"/>
                <w:szCs w:val="24"/>
              </w:rPr>
              <w:t>AVor</w:t>
            </w:r>
          </w:p>
        </w:tc>
      </w:tr>
    </w:tbl>
    <w:p>
      <w:pPr>
        <w:pStyle w:val="Normal"/>
        <w:rPr/>
      </w:pPr>
      <w:r>
        <w:rPr/>
        <w:t xml:space="preserve">       </w:t>
      </w:r>
    </w:p>
    <w:p>
      <w:pPr>
        <w:pStyle w:val="Normal"/>
        <w:rPr/>
      </w:pPr>
      <w:r>
        <w:rPr>
          <w:sz w:val="28"/>
          <w:szCs w:val="28"/>
        </w:rPr>
        <w:t>Querschnitt des Gleiskörpers</w:t>
      </w:r>
    </w:p>
    <w:p>
      <w:pPr>
        <w:pStyle w:val="Normal"/>
        <w:jc w:val="both"/>
        <w:rPr/>
      </w:pPr>
      <w:r>
        <w:rPr>
          <w:b w:val="false"/>
          <w:bCs w:val="false"/>
          <w:color w:val="00A933"/>
          <w:sz w:val="20"/>
          <w:szCs w:val="20"/>
        </w:rPr>
        <w:t>Der Querschnitt des Gleiskörpers an den Normübergängen soll gemäß untenstehender Abbildung ausgeführt werden. Innerhalb des Moduls ist die Form des Gleiskörpers freibleibend, die Maße sollten aber auch da annähernd eingehalten werden. Die Wassergräben entlang des Gleiskörpers sind ebenfalls an praktisch allen Vorbildstrecken vorhanden und sollten daher nachgebildet werden.</w:t>
      </w:r>
    </w:p>
    <w:p>
      <w:pPr>
        <w:pStyle w:val="Normal"/>
        <w:rPr/>
      </w:pPr>
      <w:r>
        <w:rPr>
          <w:sz w:val="20"/>
          <w:szCs w:val="20"/>
        </w:rPr>
        <w:t xml:space="preserve">                                                           </w:t>
      </w:r>
    </w:p>
    <w:tbl>
      <w:tblPr>
        <w:tblW w:w="10021" w:type="dxa"/>
        <w:jc w:val="left"/>
        <w:tblInd w:w="0" w:type="dxa"/>
        <w:tblBorders/>
        <w:tblCellMar>
          <w:top w:w="0" w:type="dxa"/>
          <w:left w:w="108" w:type="dxa"/>
          <w:bottom w:w="0" w:type="dxa"/>
          <w:right w:w="108" w:type="dxa"/>
        </w:tblCellMar>
        <w:tblLook w:val="01e0"/>
      </w:tblPr>
      <w:tblGrid>
        <w:gridCol w:w="5039"/>
        <w:gridCol w:w="4981"/>
      </w:tblGrid>
      <w:tr>
        <w:trPr/>
        <w:tc>
          <w:tcPr>
            <w:tcW w:w="5039" w:type="dxa"/>
            <w:tcBorders/>
            <w:shd w:fill="auto" w:val="clear"/>
            <w:vAlign w:val="bottom"/>
          </w:tcPr>
          <w:p>
            <w:pPr>
              <w:pStyle w:val="Normal"/>
              <w:widowControl/>
              <w:suppressAutoHyphens w:val="false"/>
              <w:bidi w:val="0"/>
              <w:spacing w:before="120" w:after="0"/>
              <w:jc w:val="center"/>
              <w:rPr>
                <w:sz w:val="20"/>
                <w:szCs w:val="20"/>
              </w:rPr>
            </w:pPr>
            <w:r>
              <w:rPr/>
              <w:drawing>
                <wp:inline distT="0" distB="0" distL="0" distR="0">
                  <wp:extent cx="2695575" cy="1297305"/>
                  <wp:effectExtent l="0" t="0" r="0" b="0"/>
                  <wp:docPr id="2" name="Bild 41" descr="Gleis%20ohne%20Ueberho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1" descr="Gleis%20ohne%20Ueberhoehung"/>
                          <pic:cNvPicPr>
                            <a:picLocks noChangeAspect="1" noChangeArrowheads="1"/>
                          </pic:cNvPicPr>
                        </pic:nvPicPr>
                        <pic:blipFill>
                          <a:blip r:embed="rId3"/>
                          <a:stretch>
                            <a:fillRect/>
                          </a:stretch>
                        </pic:blipFill>
                        <pic:spPr bwMode="auto">
                          <a:xfrm>
                            <a:off x="0" y="0"/>
                            <a:ext cx="2695575" cy="1297305"/>
                          </a:xfrm>
                          <a:prstGeom prst="rect">
                            <a:avLst/>
                          </a:prstGeom>
                        </pic:spPr>
                      </pic:pic>
                    </a:graphicData>
                  </a:graphic>
                </wp:inline>
              </w:drawing>
            </w:r>
          </w:p>
        </w:tc>
        <w:tc>
          <w:tcPr>
            <w:tcW w:w="4981" w:type="dxa"/>
            <w:tcBorders/>
            <w:shd w:fill="auto" w:val="clear"/>
            <w:vAlign w:val="bottom"/>
          </w:tcPr>
          <w:p>
            <w:pPr>
              <w:pStyle w:val="Normal"/>
              <w:widowControl/>
              <w:suppressAutoHyphens w:val="false"/>
              <w:bidi w:val="0"/>
              <w:spacing w:before="120" w:after="0"/>
              <w:jc w:val="center"/>
              <w:rPr>
                <w:sz w:val="20"/>
                <w:szCs w:val="20"/>
              </w:rPr>
            </w:pPr>
            <w:r>
              <w:rPr/>
              <w:drawing>
                <wp:inline distT="0" distB="0" distL="0" distR="0">
                  <wp:extent cx="2708275" cy="1447800"/>
                  <wp:effectExtent l="0" t="0" r="0" b="0"/>
                  <wp:docPr id="3" name="Bild 42" descr="Gleis%20mit%20Ueberho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42" descr="Gleis%20mit%20Ueberhoehung"/>
                          <pic:cNvPicPr>
                            <a:picLocks noChangeAspect="1" noChangeArrowheads="1"/>
                          </pic:cNvPicPr>
                        </pic:nvPicPr>
                        <pic:blipFill>
                          <a:blip r:embed="rId4"/>
                          <a:stretch>
                            <a:fillRect/>
                          </a:stretch>
                        </pic:blipFill>
                        <pic:spPr bwMode="auto">
                          <a:xfrm>
                            <a:off x="0" y="0"/>
                            <a:ext cx="2708275" cy="1447800"/>
                          </a:xfrm>
                          <a:prstGeom prst="rect">
                            <a:avLst/>
                          </a:prstGeom>
                        </pic:spPr>
                      </pic:pic>
                    </a:graphicData>
                  </a:graphic>
                </wp:inline>
              </w:drawing>
            </w:r>
          </w:p>
        </w:tc>
      </w:tr>
      <w:tr>
        <w:trPr/>
        <w:tc>
          <w:tcPr>
            <w:tcW w:w="5039" w:type="dxa"/>
            <w:tcBorders/>
            <w:shd w:fill="auto" w:val="clear"/>
            <w:vAlign w:val="bottom"/>
          </w:tcPr>
          <w:p>
            <w:pPr>
              <w:pStyle w:val="Normal"/>
              <w:widowControl/>
              <w:suppressAutoHyphens w:val="false"/>
              <w:bidi w:val="0"/>
              <w:spacing w:before="120" w:after="0"/>
              <w:jc w:val="center"/>
              <w:rPr>
                <w:sz w:val="20"/>
                <w:szCs w:val="20"/>
              </w:rPr>
            </w:pPr>
            <w:r>
              <w:rPr>
                <w:sz w:val="20"/>
                <w:szCs w:val="20"/>
              </w:rPr>
              <w:t>Gleis ohne Überhöhung</w:t>
            </w:r>
          </w:p>
        </w:tc>
        <w:tc>
          <w:tcPr>
            <w:tcW w:w="4981" w:type="dxa"/>
            <w:tcBorders/>
            <w:shd w:fill="auto" w:val="clear"/>
            <w:vAlign w:val="bottom"/>
          </w:tcPr>
          <w:p>
            <w:pPr>
              <w:pStyle w:val="Normal"/>
              <w:widowControl/>
              <w:suppressAutoHyphens w:val="false"/>
              <w:bidi w:val="0"/>
              <w:spacing w:before="120" w:after="0"/>
              <w:jc w:val="center"/>
              <w:rPr>
                <w:sz w:val="20"/>
                <w:szCs w:val="20"/>
              </w:rPr>
            </w:pPr>
            <w:r>
              <w:rPr>
                <w:sz w:val="20"/>
                <w:szCs w:val="20"/>
              </w:rPr>
              <w:t>Bogenüberhöhung</w:t>
            </w:r>
          </w:p>
        </w:tc>
      </w:tr>
    </w:tbl>
    <w:p>
      <w:pPr>
        <w:pStyle w:val="Normal"/>
        <w:rPr>
          <w:sz w:val="20"/>
          <w:szCs w:val="20"/>
        </w:rPr>
      </w:pPr>
      <w:r>
        <w:rPr>
          <w:sz w:val="20"/>
          <w:szCs w:val="20"/>
        </w:rPr>
        <w:t>Abbildung 8.1.1.</w:t>
      </w:r>
    </w:p>
    <w:p>
      <w:pPr>
        <w:pStyle w:val="Normal"/>
        <w:rPr>
          <w:sz w:val="20"/>
          <w:szCs w:val="20"/>
        </w:rPr>
      </w:pPr>
      <w:r>
        <w:rPr/>
        <w:drawing>
          <wp:inline distT="0" distB="0" distL="0" distR="0">
            <wp:extent cx="3419475" cy="1388110"/>
            <wp:effectExtent l="0" t="0" r="0" b="0"/>
            <wp:docPr id="4" name="Bild 43" descr="Querschnitt%20Bahnkoerper%20NEM%2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3" descr="Querschnitt%20Bahnkoerper%20NEM%20123"/>
                    <pic:cNvPicPr>
                      <a:picLocks noChangeAspect="1" noChangeArrowheads="1"/>
                    </pic:cNvPicPr>
                  </pic:nvPicPr>
                  <pic:blipFill>
                    <a:blip r:embed="rId5"/>
                    <a:stretch>
                      <a:fillRect/>
                    </a:stretch>
                  </pic:blipFill>
                  <pic:spPr bwMode="auto">
                    <a:xfrm>
                      <a:off x="0" y="0"/>
                      <a:ext cx="3419475" cy="1388110"/>
                    </a:xfrm>
                    <a:prstGeom prst="rect">
                      <a:avLst/>
                    </a:prstGeom>
                  </pic:spPr>
                </pic:pic>
              </a:graphicData>
            </a:graphic>
          </wp:inline>
        </w:drawing>
      </w:r>
    </w:p>
    <w:p>
      <w:pPr>
        <w:pStyle w:val="Normal"/>
        <w:rPr>
          <w:sz w:val="20"/>
          <w:szCs w:val="20"/>
        </w:rPr>
      </w:pPr>
      <w:r>
        <w:rPr>
          <w:sz w:val="20"/>
          <w:szCs w:val="20"/>
        </w:rPr>
        <w:t>Gleisquerschnitt gemäß NEM 123</w:t>
      </w:r>
    </w:p>
    <w:p>
      <w:pPr>
        <w:pStyle w:val="Berschrift3"/>
        <w:rPr>
          <w:sz w:val="28"/>
          <w:szCs w:val="28"/>
        </w:rPr>
      </w:pPr>
      <w:r>
        <w:rPr>
          <w:sz w:val="28"/>
          <w:szCs w:val="28"/>
        </w:rPr>
      </w:r>
    </w:p>
    <w:p>
      <w:pPr>
        <w:pStyle w:val="Berschrift3"/>
        <w:rPr>
          <w:sz w:val="28"/>
          <w:szCs w:val="28"/>
        </w:rPr>
      </w:pPr>
      <w:r>
        <w:rPr>
          <w:sz w:val="28"/>
          <w:szCs w:val="28"/>
        </w:rPr>
        <w:t>Gleisbogen (Mindestradius)</w:t>
      </w:r>
    </w:p>
    <w:p>
      <w:pPr>
        <w:pStyle w:val="Normal"/>
        <w:numPr>
          <w:ilvl w:val="0"/>
          <w:numId w:val="1"/>
        </w:numPr>
        <w:jc w:val="both"/>
        <w:rPr>
          <w:color w:val="FF4000"/>
        </w:rPr>
      </w:pPr>
      <w:r>
        <w:rPr>
          <w:b w:val="false"/>
          <w:color w:val="FF4000"/>
          <w:sz w:val="20"/>
          <w:szCs w:val="20"/>
        </w:rPr>
        <w:t>Der Mindestradius auf Streckenmodulen gemessen in der Gleismitte darf 500mm nicht unterschreiten. Module mit kleineren Radien sind nur bedingt einsetzbar (z.B. für Waldbahnabschnitte).</w:t>
      </w:r>
    </w:p>
    <w:p>
      <w:pPr>
        <w:pStyle w:val="Normal"/>
        <w:numPr>
          <w:ilvl w:val="0"/>
          <w:numId w:val="1"/>
        </w:numPr>
        <w:jc w:val="both"/>
        <w:rPr>
          <w:color w:val="00A933"/>
        </w:rPr>
      </w:pPr>
      <w:r>
        <w:rPr>
          <w:b w:val="false"/>
          <w:color w:val="00A933"/>
          <w:sz w:val="20"/>
          <w:szCs w:val="20"/>
        </w:rPr>
        <w:t>Aus optischen und fahrtechnischen Gründen wird ein Mindestradius von 600 mm oder besser 700-800 mm oder größer empfohlen. Umrechnungen vom Original ergeben Radien von 1000 bis 2000mm.</w:t>
      </w:r>
    </w:p>
    <w:p>
      <w:pPr>
        <w:pStyle w:val="Normal"/>
        <w:numPr>
          <w:ilvl w:val="0"/>
          <w:numId w:val="1"/>
        </w:numPr>
        <w:jc w:val="both"/>
        <w:rPr>
          <w:color w:val="00A933"/>
        </w:rPr>
      </w:pPr>
      <w:r>
        <w:rPr>
          <w:b w:val="false"/>
          <w:color w:val="00A933"/>
          <w:sz w:val="20"/>
          <w:szCs w:val="20"/>
        </w:rPr>
        <w:t xml:space="preserve">Im Bahnhofsbereich abseits der durchgehenden Hauptgleise kann der Radius bis auf 400mm reduziert werden, empfohlen wird das allerdings nicht, weil das Einschränkungen in der Befahrbarkeit nach sich zieht. </w:t>
      </w:r>
    </w:p>
    <w:p>
      <w:pPr>
        <w:pStyle w:val="Normal"/>
        <w:numPr>
          <w:ilvl w:val="0"/>
          <w:numId w:val="1"/>
        </w:numPr>
        <w:jc w:val="both"/>
        <w:rPr/>
      </w:pPr>
      <w:r>
        <w:rPr>
          <w:b w:val="false"/>
          <w:color w:val="729FCF"/>
          <w:sz w:val="20"/>
          <w:szCs w:val="20"/>
        </w:rPr>
        <w:t xml:space="preserve">Aus der Ausstellungspraxis zeigt sich, dass Radien unter 500 mm auch im Bahnhofsbereich vermieden werden sollen, um </w:t>
      </w:r>
      <w:r>
        <w:rPr>
          <w:b w:val="false"/>
          <w:color w:val="729FCF"/>
          <w:sz w:val="20"/>
          <w:szCs w:val="20"/>
        </w:rPr>
        <w:t>E</w:t>
      </w:r>
      <w:r>
        <w:rPr>
          <w:b w:val="false"/>
          <w:color w:val="729FCF"/>
          <w:sz w:val="20"/>
          <w:szCs w:val="20"/>
        </w:rPr>
        <w:t xml:space="preserve">ntgleisen und </w:t>
      </w:r>
      <w:r>
        <w:rPr>
          <w:b w:val="false"/>
          <w:color w:val="729FCF"/>
          <w:sz w:val="20"/>
          <w:szCs w:val="20"/>
        </w:rPr>
        <w:t>E</w:t>
      </w:r>
      <w:r>
        <w:rPr>
          <w:b w:val="false"/>
          <w:color w:val="729FCF"/>
          <w:sz w:val="20"/>
          <w:szCs w:val="20"/>
        </w:rPr>
        <w:t>ntkuppeln zu vermeiden. 600mm für Bahnhöfe und 800mm-1000mm für Streckenmodule sind sehr praxistaugliche Werte.</w:t>
      </w:r>
    </w:p>
    <w:p>
      <w:pPr>
        <w:pStyle w:val="Normal"/>
        <w:jc w:val="both"/>
        <w:rPr>
          <w:b w:val="false"/>
          <w:b w:val="false"/>
          <w:sz w:val="20"/>
          <w:szCs w:val="20"/>
        </w:rPr>
      </w:pPr>
      <w:r>
        <w:rPr>
          <w:b w:val="false"/>
          <w:sz w:val="20"/>
          <w:szCs w:val="20"/>
        </w:rPr>
      </w:r>
    </w:p>
    <w:p>
      <w:pPr>
        <w:pStyle w:val="Normal"/>
        <w:jc w:val="both"/>
        <w:rPr>
          <w:b w:val="false"/>
          <w:b w:val="false"/>
          <w:sz w:val="20"/>
          <w:szCs w:val="20"/>
        </w:rPr>
      </w:pPr>
      <w:r>
        <w:rPr>
          <w:b w:val="false"/>
          <w:sz w:val="20"/>
          <w:szCs w:val="20"/>
        </w:rPr>
      </w:r>
    </w:p>
    <w:p>
      <w:pPr>
        <w:pStyle w:val="Normal"/>
        <w:jc w:val="both"/>
        <w:rPr>
          <w:b w:val="false"/>
          <w:b w:val="false"/>
          <w:sz w:val="20"/>
          <w:szCs w:val="20"/>
        </w:rPr>
      </w:pPr>
      <w:r>
        <w:rPr>
          <w:b w:val="false"/>
          <w:sz w:val="20"/>
          <w:szCs w:val="20"/>
        </w:rPr>
      </w:r>
    </w:p>
    <w:p>
      <w:pPr>
        <w:pStyle w:val="Berschrift3"/>
        <w:jc w:val="center"/>
        <w:rPr>
          <w:b/>
          <w:b/>
          <w:bCs/>
        </w:rPr>
      </w:pPr>
      <w:r>
        <w:rPr>
          <w:b/>
          <w:bCs/>
          <w:sz w:val="28"/>
          <w:szCs w:val="28"/>
        </w:rPr>
        <w:t>Gleiskörper am Modul</w:t>
      </w:r>
    </w:p>
    <w:p>
      <w:pPr>
        <w:pStyle w:val="Normal"/>
        <w:numPr>
          <w:ilvl w:val="0"/>
          <w:numId w:val="2"/>
        </w:numPr>
        <w:jc w:val="both"/>
        <w:rPr>
          <w:color w:val="FF4000"/>
        </w:rPr>
      </w:pPr>
      <w:r>
        <w:rPr>
          <w:b w:val="false"/>
          <w:color w:val="FF4000"/>
          <w:sz w:val="20"/>
          <w:szCs w:val="20"/>
        </w:rPr>
        <w:t xml:space="preserve">An den Modulübergängen muss der Gleiskörper mindestens 150mm vom Modulrand entfernt sein, das heißt beim 300mm-Übergang mittig. </w:t>
      </w:r>
    </w:p>
    <w:p>
      <w:pPr>
        <w:pStyle w:val="Normal"/>
        <w:numPr>
          <w:ilvl w:val="0"/>
          <w:numId w:val="2"/>
        </w:numPr>
        <w:jc w:val="both"/>
        <w:rPr/>
      </w:pPr>
      <w:r>
        <w:rPr>
          <w:b w:val="false"/>
          <w:color w:val="FF4000"/>
          <w:sz w:val="20"/>
          <w:szCs w:val="20"/>
        </w:rPr>
        <w:t>Innerhalb des Moduls ist der Mindestabstand zur Modulkante 80mm. Wird der Abstand von 80mm unterschritten, muß eine Absturzsicherung für die Fahrzeuge vorgesehen werden, z.B. Plexiglas.</w:t>
      </w:r>
    </w:p>
    <w:p>
      <w:pPr>
        <w:pStyle w:val="Normal"/>
        <w:jc w:val="both"/>
        <w:rPr/>
      </w:pPr>
      <w:r>
        <w:rPr/>
      </w:r>
    </w:p>
    <w:sectPr>
      <w:footerReference w:type="default" r:id="rId6"/>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s>
      <w:spacing w:before="120" w:after="0"/>
      <w:rPr>
        <w:b w:val="false"/>
        <w:b w:val="false"/>
        <w:bCs w:val="false"/>
      </w:rPr>
    </w:pPr>
    <w:r>
      <w:rPr>
        <w:b w:val="false"/>
        <w:bCs w:val="false"/>
        <w:sz w:val="24"/>
        <w:lang w:val="de-AT"/>
      </w:rPr>
      <w:t xml:space="preserve">Seite </w:t>
    </w:r>
    <w:r>
      <w:rPr>
        <w:b w:val="false"/>
        <w:bCs w:val="false"/>
        <w:sz w:val="24"/>
        <w:lang w:val="de-AT"/>
      </w:rPr>
      <w:fldChar w:fldCharType="begin"/>
    </w:r>
    <w:r>
      <w:rPr>
        <w:sz w:val="24"/>
        <w:b w:val="false"/>
        <w:bCs w:val="false"/>
      </w:rPr>
      <w:instrText> PAGE </w:instrText>
    </w:r>
    <w:r>
      <w:rPr>
        <w:sz w:val="24"/>
        <w:b w:val="false"/>
        <w:bCs w:val="false"/>
      </w:rPr>
      <w:fldChar w:fldCharType="separate"/>
    </w:r>
    <w:r>
      <w:rPr>
        <w:sz w:val="24"/>
        <w:b w:val="false"/>
        <w:bCs w:val="false"/>
      </w:rPr>
      <w:t>2</w:t>
    </w:r>
    <w:r>
      <w:rPr>
        <w:sz w:val="24"/>
        <w:b w:val="false"/>
        <w:bCs w:val="false"/>
      </w:rPr>
      <w:fldChar w:fldCharType="end"/>
    </w:r>
  </w:p>
  <w:p>
    <w:pPr>
      <w:pStyle w:val="Fuzeile"/>
      <w:rPr>
        <w:lang w:val="de-AT"/>
      </w:rPr>
    </w:pPr>
    <w:r>
      <w:rPr>
        <w:lang w:val="de-A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Aufzhlungszeichen">
    <w:name w:val="Aufzählungszeichen"/>
    <w:qFormat/>
    <w:rPr>
      <w:rFonts w:ascii="OpenSymbol" w:hAnsi="OpenSymbol" w:eastAsia="OpenSymbol"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54D4-2E3C-4CFF-B80F-294875F1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LibreOffice/6.1.5.2$Windows_X86_64 LibreOffice_project/90f8dcf33c87b3705e78202e3df5142b201bd805</Application>
  <Pages>2</Pages>
  <Words>237</Words>
  <Characters>1541</Characters>
  <CharactersWithSpaces>1820</CharactersWithSpaces>
  <Paragraphs>28</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2016-05-25T15:26:00Z</dcterms:created>
  <dc:creator>Michael Sengstschmid</dc:creator>
  <dc:description/>
  <dc:language>de-AT</dc:language>
  <cp:lastModifiedBy/>
  <cp:lastPrinted>2021-03-28T23:07:15Z</cp:lastPrinted>
  <dcterms:modified xsi:type="dcterms:W3CDTF">2021-03-28T23:07:24Z</dcterms:modified>
  <cp:revision>9</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