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9"/>
        <w:gridCol w:w="1600"/>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9"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b w:val="false"/>
                <w:b w:val="false"/>
                <w:sz w:val="28"/>
                <w:szCs w:val="28"/>
              </w:rPr>
            </w:pPr>
            <w:r>
              <w:rPr>
                <w:b w:val="false"/>
                <w:sz w:val="28"/>
                <w:szCs w:val="28"/>
              </w:rPr>
              <w:t>Schmalspur Modulbaugruppe</w:t>
            </w:r>
          </w:p>
          <w:p>
            <w:pPr>
              <w:pStyle w:val="Normal"/>
              <w:rPr/>
            </w:pPr>
            <w:r>
              <w:rPr>
                <w:b w:val="false"/>
                <w:sz w:val="28"/>
                <w:szCs w:val="28"/>
              </w:rPr>
              <w:t>Modulhandbuch</w:t>
            </w:r>
            <w:r>
              <w:rPr/>
              <w:t xml:space="preserve"> </w:t>
            </w:r>
            <w:r>
              <w:rPr>
                <w:b w:val="false"/>
                <w:bCs w:val="false"/>
                <w:sz w:val="28"/>
                <w:szCs w:val="28"/>
              </w:rPr>
              <w:t>2.0</w:t>
            </w:r>
            <w:r>
              <w:rPr>
                <w:b w:val="false"/>
                <w:bCs w:val="false"/>
              </w:rPr>
              <w:t xml:space="preserve"> </w:t>
            </w:r>
            <w:r>
              <w:rPr/>
              <w:t>Gleisabstände,</w:t>
              <w:br/>
              <w:t>Rampen- und Bahnsteighöhen</w:t>
            </w:r>
            <w:r>
              <w:rPr>
                <w:b w:val="false"/>
                <w:sz w:val="20"/>
                <w:szCs w:val="20"/>
              </w:rPr>
              <w:t xml:space="preserve"> </w:t>
            </w:r>
          </w:p>
        </w:tc>
        <w:tc>
          <w:tcPr>
            <w:tcW w:w="1600"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spacing w:before="120" w:after="0"/>
              <w:rPr/>
            </w:pPr>
            <w:r>
              <w:rPr>
                <w:b w:val="false"/>
                <w:sz w:val="24"/>
                <w:szCs w:val="24"/>
              </w:rPr>
              <w:t>Version 1.</w:t>
            </w:r>
            <w:r>
              <w:rPr>
                <w:b w:val="false"/>
                <w:sz w:val="24"/>
                <w:szCs w:val="24"/>
              </w:rPr>
              <w:t>1</w:t>
            </w:r>
          </w:p>
          <w:p>
            <w:pPr>
              <w:pStyle w:val="Normal"/>
              <w:rPr>
                <w:sz w:val="24"/>
                <w:szCs w:val="24"/>
              </w:rPr>
            </w:pPr>
            <w:r>
              <w:rPr>
                <w:b w:val="false"/>
                <w:sz w:val="24"/>
                <w:szCs w:val="24"/>
              </w:rPr>
              <w:t>(3-21)</w:t>
            </w:r>
          </w:p>
          <w:p>
            <w:pPr>
              <w:pStyle w:val="Normal"/>
              <w:rPr>
                <w:sz w:val="24"/>
                <w:szCs w:val="24"/>
              </w:rPr>
            </w:pPr>
            <w:r>
              <w:rPr>
                <w:b w:val="false"/>
                <w:sz w:val="24"/>
                <w:szCs w:val="24"/>
              </w:rPr>
              <w:t>AVor</w:t>
            </w:r>
          </w:p>
        </w:tc>
      </w:tr>
    </w:tbl>
    <w:p>
      <w:pPr>
        <w:pStyle w:val="Berschrift3"/>
        <w:rPr/>
      </w:pPr>
      <w:r>
        <w:rPr>
          <w:sz w:val="28"/>
          <w:szCs w:val="28"/>
        </w:rPr>
        <w:t>Gleisabst</w:t>
      </w:r>
      <w:r>
        <w:rPr>
          <w:sz w:val="28"/>
          <w:szCs w:val="28"/>
        </w:rPr>
        <w:t>ä</w:t>
      </w:r>
      <w:r>
        <w:rPr>
          <w:sz w:val="28"/>
          <w:szCs w:val="28"/>
        </w:rPr>
        <w:t>nd</w:t>
      </w:r>
      <w:r>
        <w:rPr>
          <w:sz w:val="28"/>
          <w:szCs w:val="28"/>
        </w:rPr>
        <w:t>e</w:t>
      </w:r>
    </w:p>
    <w:p>
      <w:pPr>
        <w:pStyle w:val="Normal"/>
        <w:jc w:val="both"/>
        <w:rPr/>
      </w:pPr>
      <w:r>
        <w:rPr>
          <w:b w:val="false"/>
          <w:sz w:val="20"/>
          <w:szCs w:val="20"/>
        </w:rPr>
        <w:t>Bei der Planung von Bahnhofsgleisanlagen sind, je nach vorgesehenem Betrieb mit oder ohne Rollfahrzeugen (Rollböcke oder Rollwagen mit verladenen Normalspurwagen), die Gleis- und Rampenabstände der folgenden Tabellen zu berücksichtigen.</w:t>
      </w:r>
    </w:p>
    <w:p>
      <w:pPr>
        <w:pStyle w:val="Normal"/>
        <w:numPr>
          <w:ilvl w:val="0"/>
          <w:numId w:val="1"/>
        </w:numPr>
        <w:jc w:val="both"/>
        <w:rPr>
          <w:color w:val="CE181E"/>
        </w:rPr>
      </w:pPr>
      <w:r>
        <w:rPr>
          <w:b w:val="false"/>
          <w:color w:val="CE181E"/>
          <w:sz w:val="20"/>
          <w:szCs w:val="20"/>
        </w:rPr>
        <w:t>Die Mindestmaße wie angegeben sind unbedingt einzuhalten, da es sonst zu betrieblichen Schwierigkeiten (Berührungen, Entgleisungen) kommen kann.</w:t>
      </w:r>
    </w:p>
    <w:p>
      <w:pPr>
        <w:pStyle w:val="Normal"/>
        <w:numPr>
          <w:ilvl w:val="0"/>
          <w:numId w:val="1"/>
        </w:numPr>
        <w:jc w:val="both"/>
        <w:rPr/>
      </w:pPr>
      <w:r>
        <w:rPr>
          <w:b w:val="false"/>
          <w:sz w:val="20"/>
          <w:szCs w:val="20"/>
        </w:rPr>
        <w:t xml:space="preserve"> </w:t>
      </w:r>
      <w:r>
        <w:rPr>
          <w:b w:val="false"/>
          <w:color w:val="00A933"/>
          <w:sz w:val="20"/>
          <w:szCs w:val="20"/>
        </w:rPr>
        <w:t>Insbesondere beim Nachbau von Vorbildsituationen kann es durchaus beabsichtigt sein, dass am Modul z.B. vorbildentsprechend KEIN Rollwagenverkehr möglich ist. Dies sollte möglichst am Modul gekennzeichnet sein, jedenfalls in der Modulzeichnung angegeben werden, um die Modulzusammenstellung entsprechend planen zu können.</w:t>
      </w:r>
    </w:p>
    <w:p>
      <w:pPr>
        <w:pStyle w:val="Normal"/>
        <w:jc w:val="both"/>
        <w:rPr>
          <w:b w:val="false"/>
          <w:b w:val="false"/>
          <w:color w:val="00A933"/>
          <w:sz w:val="20"/>
          <w:szCs w:val="20"/>
        </w:rPr>
      </w:pPr>
      <w:r>
        <w:rPr>
          <w:b w:val="false"/>
          <w:color w:val="00A933"/>
          <w:sz w:val="20"/>
          <w:szCs w:val="20"/>
        </w:rPr>
      </w:r>
    </w:p>
    <w:tbl>
      <w:tblPr>
        <w:tblW w:w="921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806"/>
        <w:gridCol w:w="2880"/>
        <w:gridCol w:w="1557"/>
        <w:gridCol w:w="963"/>
        <w:gridCol w:w="1006"/>
      </w:tblGrid>
      <w:tr>
        <w:trPr/>
        <w:tc>
          <w:tcPr>
            <w:tcW w:w="92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b/>
                <w:bCs/>
                <w:sz w:val="24"/>
                <w:szCs w:val="24"/>
              </w:rPr>
            </w:pPr>
            <w:r>
              <w:rPr>
                <w:b/>
                <w:bCs/>
                <w:sz w:val="24"/>
                <w:szCs w:val="24"/>
              </w:rPr>
              <w:t>Abstand zwischen den Gleisen</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bCs/>
                <w:sz w:val="24"/>
                <w:szCs w:val="24"/>
              </w:rPr>
              <w:t>1. Gleis</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bCs/>
                <w:sz w:val="24"/>
                <w:szCs w:val="24"/>
              </w:rPr>
              <w:t>2. Gleis</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bCs/>
                <w:sz w:val="24"/>
                <w:szCs w:val="24"/>
              </w:rPr>
              <w:t>Signal zwischen den Gleisen</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bCs/>
                <w:sz w:val="24"/>
                <w:szCs w:val="24"/>
              </w:rPr>
              <w:t>Vorbild</w:t>
            </w:r>
          </w:p>
          <w:p>
            <w:pPr>
              <w:pStyle w:val="Normal"/>
              <w:rPr>
                <w:b w:val="false"/>
                <w:b w:val="false"/>
                <w:sz w:val="20"/>
                <w:szCs w:val="20"/>
              </w:rPr>
            </w:pPr>
            <w:r>
              <w:rPr>
                <w:b/>
                <w:bCs/>
                <w:sz w:val="24"/>
                <w:szCs w:val="24"/>
              </w:rPr>
              <w:t>[mm]</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bCs/>
                <w:sz w:val="24"/>
                <w:szCs w:val="24"/>
              </w:rPr>
              <w:t>Modell</w:t>
            </w:r>
          </w:p>
          <w:p>
            <w:pPr>
              <w:pStyle w:val="Normal"/>
              <w:rPr>
                <w:b w:val="false"/>
                <w:b w:val="false"/>
                <w:sz w:val="20"/>
                <w:szCs w:val="20"/>
              </w:rPr>
            </w:pPr>
            <w:r>
              <w:rPr>
                <w:b/>
                <w:bCs/>
                <w:sz w:val="24"/>
                <w:szCs w:val="24"/>
              </w:rPr>
              <w:t>[mm]</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Schmalspur</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Schmalspur</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Nein</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3300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38</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Schmalspur</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Schmalspur</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Ja</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3650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42</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Schmalspur</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Normalspur oder Rollwagen</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Nein</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3650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42</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Schmalspur</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Normalspur oder Rollwagen</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Ja</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4000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46</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Normalspur oder Rollwagen</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Normalspur oder Rollwagen</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Nein</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3850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44</w:t>
            </w:r>
          </w:p>
        </w:tc>
      </w:tr>
      <w:tr>
        <w:trPr/>
        <w:tc>
          <w:tcPr>
            <w:tcW w:w="2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Normalspur oder Rollwagen</w:t>
            </w:r>
          </w:p>
        </w:tc>
        <w:tc>
          <w:tcPr>
            <w:tcW w:w="28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Normalspur oder Rollwagen</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Ja</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4500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52</w:t>
            </w:r>
          </w:p>
        </w:tc>
      </w:tr>
    </w:tbl>
    <w:p>
      <w:pPr>
        <w:pStyle w:val="Berschrift3"/>
        <w:rPr>
          <w:sz w:val="28"/>
          <w:szCs w:val="28"/>
        </w:rPr>
      </w:pPr>
      <w:r>
        <w:rPr>
          <w:sz w:val="28"/>
          <w:szCs w:val="28"/>
        </w:rPr>
      </w:r>
    </w:p>
    <w:p>
      <w:pPr>
        <w:pStyle w:val="Berschrift3"/>
        <w:rPr/>
      </w:pPr>
      <w:r>
        <w:rPr>
          <w:sz w:val="28"/>
          <w:szCs w:val="28"/>
        </w:rPr>
        <w:t>Rampenhöhen</w:t>
      </w:r>
    </w:p>
    <w:p>
      <w:pPr>
        <w:pStyle w:val="Normal"/>
        <w:jc w:val="both"/>
        <w:rPr>
          <w:b w:val="false"/>
          <w:b w:val="false"/>
          <w:bCs w:val="false"/>
          <w:color w:val="00A933"/>
          <w:sz w:val="20"/>
          <w:szCs w:val="20"/>
        </w:rPr>
      </w:pPr>
      <w:r>
        <w:rPr>
          <w:b w:val="false"/>
          <w:bCs w:val="false"/>
          <w:color w:val="00A933"/>
          <w:sz w:val="20"/>
          <w:szCs w:val="20"/>
        </w:rPr>
        <w:t>Die Rampenhöhe hat an sich keine betriebliche Bedeutung, die Maße sollten aber doch aus optischen Gründen berücksichtigt werden.</w:t>
      </w:r>
    </w:p>
    <w:p>
      <w:pPr>
        <w:pStyle w:val="Normal"/>
        <w:rPr>
          <w:b w:val="false"/>
          <w:b w:val="false"/>
          <w:bCs w:val="false"/>
          <w:color w:val="00A933"/>
          <w:sz w:val="20"/>
          <w:szCs w:val="20"/>
        </w:rPr>
      </w:pPr>
      <w:r>
        <w:rPr>
          <w:b w:val="false"/>
          <w:bCs w:val="false"/>
          <w:color w:val="00A933"/>
          <w:sz w:val="20"/>
          <w:szCs w:val="20"/>
        </w:rPr>
      </w:r>
    </w:p>
    <w:tbl>
      <w:tblPr>
        <w:tblW w:w="921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7307"/>
        <w:gridCol w:w="900"/>
        <w:gridCol w:w="1006"/>
      </w:tblGrid>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Maße über SOK</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Vorbild</w:t>
            </w:r>
          </w:p>
          <w:p>
            <w:pPr>
              <w:pStyle w:val="Normal"/>
              <w:rPr>
                <w:b w:val="false"/>
                <w:b w:val="false"/>
                <w:sz w:val="20"/>
                <w:szCs w:val="20"/>
              </w:rPr>
            </w:pPr>
            <w:r>
              <w:rPr>
                <w:b w:val="false"/>
                <w:sz w:val="20"/>
                <w:szCs w:val="20"/>
              </w:rPr>
              <w:t>[mm]</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Modell</w:t>
            </w:r>
          </w:p>
          <w:p>
            <w:pPr>
              <w:pStyle w:val="Normal"/>
              <w:rPr>
                <w:b w:val="false"/>
                <w:b w:val="false"/>
                <w:sz w:val="20"/>
                <w:szCs w:val="20"/>
              </w:rPr>
            </w:pPr>
            <w:r>
              <w:rPr>
                <w:b w:val="false"/>
                <w:sz w:val="20"/>
                <w:szCs w:val="20"/>
              </w:rPr>
              <w:t>[mm]</w:t>
            </w:r>
          </w:p>
        </w:tc>
      </w:tr>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Seitenrampe ohne Rollfahrzeuge</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800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9,5</w:t>
            </w:r>
          </w:p>
        </w:tc>
      </w:tr>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Kopframpe ohne Rollfahrzeuge</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835</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9,5</w:t>
            </w:r>
          </w:p>
        </w:tc>
      </w:tr>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Rampen zur Entladung von aufgeschemelten Normalspurwagen</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1100 + RH *)</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13 + RH *)</w:t>
            </w:r>
          </w:p>
        </w:tc>
      </w:tr>
    </w:tbl>
    <w:p>
      <w:pPr>
        <w:pStyle w:val="Normal"/>
        <w:rPr/>
      </w:pPr>
      <w:r>
        <w:rPr>
          <w:b w:val="false"/>
          <w:sz w:val="20"/>
          <w:szCs w:val="20"/>
        </w:rPr>
        <w:t>*) RH = Rollfahrzeugladehöhe (Modell 6,5 mm über Schienenoberkante)</w:t>
      </w:r>
    </w:p>
    <w:p>
      <w:pPr>
        <w:pStyle w:val="Berschrift3"/>
        <w:rPr>
          <w:sz w:val="28"/>
          <w:szCs w:val="28"/>
        </w:rPr>
      </w:pPr>
      <w:r>
        <w:rPr>
          <w:sz w:val="28"/>
          <w:szCs w:val="28"/>
        </w:rPr>
      </w:r>
    </w:p>
    <w:p>
      <w:pPr>
        <w:pStyle w:val="Berschrift3"/>
        <w:rPr>
          <w:sz w:val="28"/>
          <w:szCs w:val="28"/>
        </w:rPr>
      </w:pPr>
      <w:r>
        <w:rPr>
          <w:sz w:val="28"/>
          <w:szCs w:val="28"/>
        </w:rPr>
      </w:r>
    </w:p>
    <w:p>
      <w:pPr>
        <w:pStyle w:val="Berschrift3"/>
        <w:rPr>
          <w:sz w:val="28"/>
          <w:szCs w:val="28"/>
        </w:rPr>
      </w:pPr>
      <w:r>
        <w:rPr>
          <w:sz w:val="28"/>
          <w:szCs w:val="28"/>
        </w:rPr>
        <w:t>Bahnsteige, Bahnsteigkanten</w:t>
      </w:r>
    </w:p>
    <w:p>
      <w:pPr>
        <w:pStyle w:val="Normal"/>
        <w:jc w:val="left"/>
        <w:rPr/>
      </w:pPr>
      <w:r>
        <w:rPr>
          <w:b w:val="false"/>
          <w:bCs w:val="false"/>
          <w:sz w:val="20"/>
          <w:szCs w:val="20"/>
        </w:rPr>
        <w:t>Bei Bahnsteigen und Bahnsteigkanten ist vor allem die Geometrie der Modellfahrzeuge zu beachten, weniger die Maßstäblichkeit. Da das Vorbild ‚Österreichische Schmalspurbahnen‘ ist, kommen natürlich in erster Linie die Fahrzeughersteller österreichischer Modelle, Liliput und ROCO, in Betracht.</w:t>
      </w:r>
    </w:p>
    <w:p>
      <w:pPr>
        <w:pStyle w:val="Normal"/>
        <w:jc w:val="left"/>
        <w:rPr>
          <w:b w:val="false"/>
          <w:b w:val="false"/>
          <w:bCs w:val="false"/>
          <w:sz w:val="20"/>
          <w:szCs w:val="20"/>
        </w:rPr>
      </w:pPr>
      <w:r>
        <w:rPr>
          <w:b w:val="false"/>
          <w:bCs w:val="false"/>
          <w:sz w:val="20"/>
          <w:szCs w:val="20"/>
        </w:rPr>
        <w:t>Trittbrettunterkante/Breite Liliput Bi/s: 3mm/26,5mm</w:t>
      </w:r>
    </w:p>
    <w:p>
      <w:pPr>
        <w:pStyle w:val="Normal"/>
        <w:jc w:val="left"/>
        <w:rPr>
          <w:b w:val="false"/>
          <w:b w:val="false"/>
          <w:bCs w:val="false"/>
          <w:sz w:val="20"/>
          <w:szCs w:val="20"/>
        </w:rPr>
      </w:pPr>
      <w:r>
        <w:rPr>
          <w:b w:val="false"/>
          <w:bCs w:val="false"/>
          <w:sz w:val="20"/>
          <w:szCs w:val="20"/>
        </w:rPr>
        <w:t>Trittbrettunterkante/Breite ROCO B4i/s: 3mm/29mm</w:t>
      </w:r>
    </w:p>
    <w:p>
      <w:pPr>
        <w:pStyle w:val="Normal"/>
        <w:jc w:val="left"/>
        <w:rPr>
          <w:b w:val="false"/>
          <w:b w:val="false"/>
          <w:bCs w:val="false"/>
          <w:sz w:val="20"/>
          <w:szCs w:val="20"/>
        </w:rPr>
      </w:pPr>
      <w:r>
        <w:rPr>
          <w:b w:val="false"/>
          <w:bCs w:val="false"/>
          <w:sz w:val="20"/>
          <w:szCs w:val="20"/>
        </w:rPr>
        <w:t>(Trittbrettunterkante über Schienenoberkante)</w:t>
      </w:r>
    </w:p>
    <w:p>
      <w:pPr>
        <w:pStyle w:val="Normal"/>
        <w:rPr>
          <w:sz w:val="28"/>
          <w:szCs w:val="28"/>
        </w:rPr>
      </w:pPr>
      <w:r>
        <w:rPr>
          <w:sz w:val="28"/>
          <w:szCs w:val="28"/>
        </w:rPr>
      </w:r>
    </w:p>
    <w:tbl>
      <w:tblPr>
        <w:tblW w:w="92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7307"/>
        <w:gridCol w:w="963"/>
        <w:gridCol w:w="1006"/>
      </w:tblGrid>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Maße über SOK</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Vorbild</w:t>
            </w:r>
          </w:p>
          <w:p>
            <w:pPr>
              <w:pStyle w:val="Normal"/>
              <w:rPr>
                <w:b w:val="false"/>
                <w:b w:val="false"/>
                <w:sz w:val="20"/>
                <w:szCs w:val="20"/>
              </w:rPr>
            </w:pPr>
            <w:r>
              <w:rPr>
                <w:b w:val="false"/>
                <w:sz w:val="20"/>
                <w:szCs w:val="20"/>
              </w:rPr>
              <w:t>[mm]</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Modell</w:t>
            </w:r>
          </w:p>
          <w:p>
            <w:pPr>
              <w:pStyle w:val="Normal"/>
              <w:rPr>
                <w:b w:val="false"/>
                <w:b w:val="false"/>
                <w:sz w:val="20"/>
                <w:szCs w:val="20"/>
              </w:rPr>
            </w:pPr>
            <w:r>
              <w:rPr>
                <w:b w:val="false"/>
                <w:sz w:val="20"/>
                <w:szCs w:val="20"/>
              </w:rPr>
              <w:t>[mm]</w:t>
            </w:r>
          </w:p>
        </w:tc>
      </w:tr>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Befestigte Bahnsteigkante</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380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4,5</w:t>
            </w:r>
          </w:p>
        </w:tc>
      </w:tr>
      <w:tr>
        <w:trPr/>
        <w:tc>
          <w:tcPr>
            <w:tcW w:w="7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bidi w:val="0"/>
              <w:spacing w:before="120" w:after="0"/>
              <w:jc w:val="center"/>
              <w:rPr>
                <w:b w:val="false"/>
                <w:b w:val="false"/>
                <w:sz w:val="20"/>
                <w:szCs w:val="20"/>
              </w:rPr>
            </w:pPr>
            <w:r>
              <w:rPr>
                <w:b w:val="false"/>
                <w:sz w:val="20"/>
                <w:szCs w:val="20"/>
              </w:rPr>
              <w:t>Schüttbahnsteig</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120</w:t>
            </w:r>
          </w:p>
        </w:tc>
        <w:tc>
          <w:tcPr>
            <w:tcW w:w="1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uppressAutoHyphens w:val="false"/>
              <w:bidi w:val="0"/>
              <w:spacing w:before="120" w:after="0"/>
              <w:jc w:val="center"/>
              <w:rPr>
                <w:b w:val="false"/>
                <w:b w:val="false"/>
                <w:sz w:val="20"/>
                <w:szCs w:val="20"/>
              </w:rPr>
            </w:pPr>
            <w:r>
              <w:rPr>
                <w:b w:val="false"/>
                <w:sz w:val="20"/>
                <w:szCs w:val="20"/>
              </w:rPr>
              <w:t>1,5</w:t>
            </w:r>
          </w:p>
        </w:tc>
      </w:tr>
    </w:tbl>
    <w:p>
      <w:pPr>
        <w:pStyle w:val="Normal"/>
        <w:jc w:val="both"/>
        <w:rPr>
          <w:b w:val="false"/>
          <w:b w:val="false"/>
          <w:sz w:val="20"/>
          <w:szCs w:val="20"/>
        </w:rPr>
      </w:pPr>
      <w:r>
        <w:rPr>
          <w:b w:val="false"/>
          <w:sz w:val="20"/>
          <w:szCs w:val="20"/>
        </w:rPr>
      </w:r>
    </w:p>
    <w:p>
      <w:pPr>
        <w:pStyle w:val="Normal"/>
        <w:numPr>
          <w:ilvl w:val="0"/>
          <w:numId w:val="2"/>
        </w:numPr>
        <w:jc w:val="both"/>
        <w:rPr/>
      </w:pPr>
      <w:r>
        <w:rPr>
          <w:b w:val="false"/>
          <w:color w:val="00A933"/>
          <w:sz w:val="20"/>
          <w:szCs w:val="20"/>
        </w:rPr>
        <w:t>Der Abstand der Bahnsteigkanten sollten daher mindestens 15mm von der Gleismitte entfernt sein und höchsten 3mm über Schienenoberkante hoch sein.</w:t>
      </w:r>
    </w:p>
    <w:p>
      <w:pPr>
        <w:pStyle w:val="Normal"/>
        <w:numPr>
          <w:ilvl w:val="0"/>
          <w:numId w:val="2"/>
        </w:numPr>
        <w:jc w:val="both"/>
        <w:rPr>
          <w:color w:val="CE181E"/>
        </w:rPr>
      </w:pPr>
      <w:r>
        <w:rPr>
          <w:b w:val="false"/>
          <w:color w:val="CE181E"/>
          <w:sz w:val="20"/>
          <w:szCs w:val="20"/>
        </w:rPr>
        <w:t>Die Bahnsteighöhe des Schüttbahnsteiges bezieht sich auf Bahnsteigmitte. In Gleisnähe darf das Gleisniveau nicht überragt werden.</w:t>
      </w:r>
    </w:p>
    <w:p>
      <w:pPr>
        <w:pStyle w:val="Normal"/>
        <w:numPr>
          <w:ilvl w:val="0"/>
          <w:numId w:val="2"/>
        </w:numPr>
        <w:jc w:val="both"/>
        <w:rPr/>
      </w:pPr>
      <w:r>
        <w:rPr>
          <w:b w:val="false"/>
          <w:color w:val="00A933"/>
          <w:sz w:val="20"/>
          <w:szCs w:val="20"/>
        </w:rPr>
        <w:t>Empfehlung ist jedenfalls, mit möglichst vielen der eingesetzten Fahrzeuge Probefahrten zu machen und gegebenenfalls die Bahnsteige zu adaptieren, da viele Fahrzeuge - auch und vor allem Gro</w:t>
      </w:r>
      <w:r>
        <w:rPr>
          <w:b w:val="false"/>
          <w:color w:val="00A933"/>
          <w:sz w:val="20"/>
          <w:szCs w:val="20"/>
        </w:rPr>
        <w:t>ß</w:t>
      </w:r>
      <w:r>
        <w:rPr>
          <w:b w:val="false"/>
          <w:color w:val="00A933"/>
          <w:sz w:val="20"/>
          <w:szCs w:val="20"/>
        </w:rPr>
        <w:t>serienfahrzeuge - die Normma</w:t>
      </w:r>
      <w:r>
        <w:rPr>
          <w:b w:val="false"/>
          <w:color w:val="00A933"/>
          <w:sz w:val="20"/>
          <w:szCs w:val="20"/>
        </w:rPr>
        <w:t>ß</w:t>
      </w:r>
      <w:r>
        <w:rPr>
          <w:b w:val="false"/>
          <w:color w:val="00A933"/>
          <w:sz w:val="20"/>
          <w:szCs w:val="20"/>
        </w:rPr>
        <w:t>e über- oder unterschreiten.</w:t>
      </w:r>
    </w:p>
    <w:p>
      <w:pPr>
        <w:pStyle w:val="Normal"/>
        <w:numPr>
          <w:ilvl w:val="0"/>
          <w:numId w:val="2"/>
        </w:numPr>
        <w:jc w:val="both"/>
        <w:rPr/>
      </w:pPr>
      <w:r>
        <w:rPr>
          <w:b w:val="false"/>
          <w:color w:val="2A6099"/>
          <w:sz w:val="20"/>
          <w:szCs w:val="20"/>
        </w:rPr>
        <w:t xml:space="preserve">Besonders die Triebwagen Reihe 5090 haben sehr tiefhängende Anbauten. Auch manche Dampfloks haben überbreite Zylinder. Ausgiebige Probefahrten sind wichtig! </w:t>
      </w:r>
    </w:p>
    <w:sectPr>
      <w:footerReference w:type="default" r:id="rId3"/>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20" w:after="0"/>
      <w:rPr/>
    </w:pPr>
    <w:r>
      <w:rPr>
        <w:b w:val="false"/>
        <w:bCs w:val="false"/>
        <w:sz w:val="24"/>
        <w:lang w:val="de-AT"/>
      </w:rPr>
      <w:t xml:space="preserve">Seite </w:t>
    </w:r>
    <w:r>
      <w:rPr>
        <w:b w:val="false"/>
        <w:bCs w:val="false"/>
        <w:sz w:val="24"/>
      </w:rPr>
      <w:fldChar w:fldCharType="begin"/>
    </w:r>
    <w:r>
      <w:rPr>
        <w:sz w:val="24"/>
        <w:b w:val="false"/>
        <w:bCs w:val="false"/>
      </w:rPr>
      <w:instrText> PAGE </w:instrText>
    </w:r>
    <w:r>
      <w:rPr>
        <w:sz w:val="24"/>
        <w:b w:val="false"/>
        <w:bCs w:val="false"/>
      </w:rPr>
      <w:fldChar w:fldCharType="separate"/>
    </w:r>
    <w:r>
      <w:rPr>
        <w:sz w:val="24"/>
        <w:b w:val="false"/>
        <w:bCs w:val="false"/>
      </w:rPr>
      <w:t>2</w:t>
    </w:r>
    <w:r>
      <w:rPr>
        <w:sz w:val="24"/>
        <w:b w:val="false"/>
        <w:bCs w:val="false"/>
      </w:rPr>
      <w:fldChar w:fldCharType="end"/>
    </w:r>
  </w:p>
  <w:p>
    <w:pPr>
      <w:pStyle w:val="Fuzeile"/>
      <w:rPr>
        <w:lang w:val="de-AT"/>
      </w:rPr>
    </w:pPr>
    <w:r>
      <w:rPr>
        <w:lang w:val="de-A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Aufzhlungszeichen">
    <w:name w:val="Aufzählungszeichen"/>
    <w:qFormat/>
    <w:rPr>
      <w:rFonts w:ascii="OpenSymbol" w:hAnsi="OpenSymbol" w:eastAsia="OpenSymbol" w:cs="OpenSymbol"/>
    </w:rPr>
  </w:style>
  <w:style w:type="character" w:styleId="Nummerierungszeichen">
    <w:name w:val="Nummerierungszeichen"/>
    <w:qFormat/>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8880-2F43-4A47-8863-C75F9F41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LibreOffice/6.1.5.2$Windows_X86_64 LibreOffice_project/90f8dcf33c87b3705e78202e3df5142b201bd805</Application>
  <Pages>2</Pages>
  <Words>375</Words>
  <Characters>2526</Characters>
  <CharactersWithSpaces>2812</CharactersWithSpaces>
  <Paragraphs>87</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2016-05-24T20:55:00Z</dcterms:created>
  <dc:creator>Michael Sengstschmid</dc:creator>
  <dc:description/>
  <dc:language>de-AT</dc:language>
  <cp:lastModifiedBy/>
  <cp:lastPrinted>2021-03-28T23:02:41Z</cp:lastPrinted>
  <dcterms:modified xsi:type="dcterms:W3CDTF">2021-03-28T23:02:58Z</dcterms:modified>
  <cp:revision>9</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