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jpeg" ContentType="image/jpeg"/>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10.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tbl>
      <w:tblPr>
        <w:tblW w:w="10023" w:type="dxa"/>
        <w:jc w:val="left"/>
        <w:tblInd w:w="0" w:type="dxa"/>
        <w:tblBorders>
          <w:top w:val="single" w:sz="18" w:space="0" w:color="000000"/>
          <w:left w:val="single" w:sz="18" w:space="0" w:color="000000"/>
          <w:bottom w:val="single" w:sz="18" w:space="0" w:color="000000"/>
          <w:insideH w:val="single" w:sz="18" w:space="0" w:color="000000"/>
        </w:tblBorders>
        <w:tblCellMar>
          <w:top w:w="0" w:type="dxa"/>
          <w:left w:w="108" w:type="dxa"/>
          <w:bottom w:w="0" w:type="dxa"/>
          <w:right w:w="108" w:type="dxa"/>
        </w:tblCellMar>
        <w:tblLook w:val="04a0"/>
      </w:tblPr>
      <w:tblGrid>
        <w:gridCol w:w="1895"/>
        <w:gridCol w:w="6529"/>
        <w:gridCol w:w="1599"/>
      </w:tblGrid>
      <w:tr>
        <w:trPr>
          <w:trHeight w:val="1162" w:hRule="atLeast"/>
        </w:trPr>
        <w:tc>
          <w:tcPr>
            <w:tcW w:w="1895" w:type="dxa"/>
            <w:tcBorders>
              <w:top w:val="single" w:sz="18" w:space="0" w:color="000000"/>
              <w:left w:val="single" w:sz="18" w:space="0" w:color="000000"/>
              <w:bottom w:val="single" w:sz="18" w:space="0" w:color="000000"/>
              <w:insideH w:val="single" w:sz="18" w:space="0" w:color="000000"/>
            </w:tcBorders>
            <w:shd w:fill="auto" w:val="clear"/>
          </w:tcPr>
          <w:p>
            <w:pPr>
              <w:pStyle w:val="Normal"/>
              <w:widowControl/>
              <w:suppressAutoHyphens w:val="false"/>
              <w:bidi w:val="0"/>
              <w:spacing w:before="120" w:after="0"/>
              <w:jc w:val="center"/>
              <w:rPr>
                <w:rFonts w:eastAsia="Calibri"/>
                <w:lang w:eastAsia="en-US"/>
              </w:rPr>
            </w:pPr>
            <w:r>
              <w:rPr/>
              <w:drawing>
                <wp:inline distT="0" distB="0" distL="0" distR="0">
                  <wp:extent cx="1047750" cy="561975"/>
                  <wp:effectExtent l="0" t="0" r="0" b="0"/>
                  <wp:docPr id="1" name="Grafik 2" descr="http://www.erlebnisbahn.at/strubel/bilder/z6/zeich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http://www.erlebnisbahn.at/strubel/bilder/z6/zeichz6.jpg"/>
                          <pic:cNvPicPr>
                            <a:picLocks noChangeAspect="1" noChangeArrowheads="1"/>
                          </pic:cNvPicPr>
                        </pic:nvPicPr>
                        <pic:blipFill>
                          <a:blip r:embed="rId2"/>
                          <a:stretch>
                            <a:fillRect/>
                          </a:stretch>
                        </pic:blipFill>
                        <pic:spPr bwMode="auto">
                          <a:xfrm>
                            <a:off x="0" y="0"/>
                            <a:ext cx="1047750" cy="561975"/>
                          </a:xfrm>
                          <a:prstGeom prst="rect">
                            <a:avLst/>
                          </a:prstGeom>
                        </pic:spPr>
                      </pic:pic>
                    </a:graphicData>
                  </a:graphic>
                </wp:inline>
              </w:drawing>
            </w:r>
          </w:p>
          <w:p>
            <w:pPr>
              <w:pStyle w:val="Normal"/>
              <w:rPr>
                <w:rFonts w:eastAsia="Calibri"/>
                <w:lang w:eastAsia="en-US"/>
              </w:rPr>
            </w:pPr>
            <w:r>
              <w:rPr>
                <w:rFonts w:eastAsia="Calibri"/>
                <w:lang w:eastAsia="en-US"/>
              </w:rPr>
              <w:t>SMBG</w:t>
            </w:r>
          </w:p>
        </w:tc>
        <w:tc>
          <w:tcPr>
            <w:tcW w:w="6529" w:type="dxa"/>
            <w:tcBorders>
              <w:top w:val="single" w:sz="18" w:space="0" w:color="000000"/>
              <w:left w:val="single" w:sz="18" w:space="0" w:color="000000"/>
              <w:bottom w:val="single" w:sz="18" w:space="0" w:color="000000"/>
              <w:insideH w:val="single" w:sz="18" w:space="0" w:color="000000"/>
            </w:tcBorders>
            <w:shd w:fill="auto" w:val="clear"/>
          </w:tcPr>
          <w:p>
            <w:pPr>
              <w:pStyle w:val="Normal"/>
              <w:widowControl/>
              <w:suppressAutoHyphens w:val="false"/>
              <w:bidi w:val="0"/>
              <w:spacing w:before="120" w:after="0"/>
              <w:jc w:val="center"/>
              <w:rPr>
                <w:b w:val="false"/>
                <w:b w:val="false"/>
                <w:sz w:val="28"/>
                <w:szCs w:val="28"/>
              </w:rPr>
            </w:pPr>
            <w:r>
              <w:rPr>
                <w:b w:val="false"/>
                <w:sz w:val="28"/>
                <w:szCs w:val="28"/>
              </w:rPr>
              <w:t>Schmalspur Modulbaugruppe</w:t>
            </w:r>
          </w:p>
          <w:p>
            <w:pPr>
              <w:pStyle w:val="Normal"/>
              <w:rPr/>
            </w:pPr>
            <w:r>
              <w:rPr>
                <w:b w:val="false"/>
                <w:sz w:val="28"/>
                <w:szCs w:val="28"/>
              </w:rPr>
              <w:t>Modulhandbuch 2.0</w:t>
            </w:r>
            <w:r>
              <w:rPr/>
              <w:t xml:space="preserve">  </w:t>
            </w:r>
          </w:p>
          <w:p>
            <w:pPr>
              <w:pStyle w:val="Normal"/>
              <w:rPr/>
            </w:pPr>
            <w:r>
              <w:rPr/>
              <w:t>Präsentationshöhe, Modulbeine</w:t>
            </w:r>
          </w:p>
        </w:tc>
        <w:tc>
          <w:tcPr>
            <w:tcW w:w="1599" w:type="dxa"/>
            <w:tc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cBorders>
            <w:shd w:fill="auto" w:val="clear"/>
          </w:tcPr>
          <w:p>
            <w:pPr>
              <w:pStyle w:val="Normal"/>
              <w:widowControl/>
              <w:suppressAutoHyphens w:val="false"/>
              <w:bidi w:val="0"/>
              <w:spacing w:before="120" w:after="0"/>
              <w:jc w:val="center"/>
              <w:rPr/>
            </w:pPr>
            <w:r>
              <w:rPr>
                <w:b w:val="false"/>
                <w:sz w:val="24"/>
                <w:szCs w:val="24"/>
              </w:rPr>
              <w:t>Version 1.1</w:t>
            </w:r>
          </w:p>
          <w:p>
            <w:pPr>
              <w:pStyle w:val="Normal"/>
              <w:widowControl/>
              <w:suppressAutoHyphens w:val="false"/>
              <w:bidi w:val="0"/>
              <w:spacing w:before="120" w:after="0"/>
              <w:jc w:val="center"/>
              <w:rPr>
                <w:sz w:val="24"/>
                <w:szCs w:val="24"/>
              </w:rPr>
            </w:pPr>
            <w:r>
              <w:rPr>
                <w:b w:val="false"/>
                <w:sz w:val="24"/>
                <w:szCs w:val="24"/>
              </w:rPr>
              <w:t>(3-2021)</w:t>
            </w:r>
          </w:p>
          <w:p>
            <w:pPr>
              <w:pStyle w:val="Normal"/>
              <w:widowControl/>
              <w:suppressAutoHyphens w:val="false"/>
              <w:bidi w:val="0"/>
              <w:spacing w:before="120" w:after="0"/>
              <w:jc w:val="center"/>
              <w:rPr>
                <w:sz w:val="24"/>
                <w:szCs w:val="24"/>
              </w:rPr>
            </w:pPr>
            <w:r>
              <w:rPr>
                <w:b w:val="false"/>
                <w:sz w:val="24"/>
                <w:szCs w:val="24"/>
              </w:rPr>
              <w:t>AVor</w:t>
            </w:r>
          </w:p>
        </w:tc>
      </w:tr>
    </w:tbl>
    <w:p>
      <w:pPr>
        <w:pStyle w:val="Normal"/>
        <w:jc w:val="left"/>
        <w:rPr>
          <w:b w:val="false"/>
          <w:b w:val="false"/>
          <w:bCs w:val="false"/>
          <w:sz w:val="20"/>
          <w:szCs w:val="20"/>
        </w:rPr>
      </w:pPr>
      <w:r>
        <w:rPr>
          <w:b w:val="false"/>
          <w:bCs w:val="false"/>
          <w:sz w:val="20"/>
          <w:szCs w:val="20"/>
        </w:rPr>
      </w:r>
    </w:p>
    <w:p>
      <w:pPr>
        <w:pStyle w:val="Normal"/>
        <w:jc w:val="left"/>
        <w:rPr>
          <w:b w:val="false"/>
          <w:b w:val="false"/>
          <w:bCs w:val="false"/>
          <w:sz w:val="20"/>
          <w:szCs w:val="20"/>
        </w:rPr>
      </w:pPr>
      <w:r>
        <w:rPr>
          <w:b w:val="false"/>
          <w:bCs w:val="false"/>
          <w:sz w:val="20"/>
          <w:szCs w:val="20"/>
        </w:rPr>
        <w:t>Für die Präsentationshöhe (=wie hoch ist die Schienenoberkante über dem Hallenboden) gibt es bei der SMBG 2 Varianten:</w:t>
      </w:r>
    </w:p>
    <w:p>
      <w:pPr>
        <w:pStyle w:val="Normal"/>
        <w:numPr>
          <w:ilvl w:val="0"/>
          <w:numId w:val="1"/>
        </w:numPr>
        <w:jc w:val="left"/>
        <w:rPr/>
      </w:pPr>
      <w:r>
        <w:rPr>
          <w:b w:val="false"/>
          <w:bCs w:val="false"/>
          <w:sz w:val="20"/>
          <w:szCs w:val="20"/>
        </w:rPr>
        <w:t>Bei Publikumsausstellungen (vor allem dann, wenn mit Kindern zu rechnen ist) wird die Modulanlage ‚auf Tischhöhe‘ aufgebaut, das heißt Schienenoberkante ist 1008mm über Boden.</w:t>
      </w:r>
    </w:p>
    <w:p>
      <w:pPr>
        <w:pStyle w:val="Normal"/>
        <w:numPr>
          <w:ilvl w:val="0"/>
          <w:numId w:val="1"/>
        </w:numPr>
        <w:jc w:val="left"/>
        <w:rPr/>
      </w:pPr>
      <w:r>
        <w:rPr>
          <w:b w:val="false"/>
          <w:bCs w:val="false"/>
          <w:sz w:val="20"/>
          <w:szCs w:val="20"/>
        </w:rPr>
        <w:t>Bei den meisten internen Aufstellungen, bei Fremo-Treffen, sowie auf manchen Publikumsausstellungen ist die Ausstellungshöhe 1300mm über Boden.</w:t>
      </w:r>
    </w:p>
    <w:p>
      <w:pPr>
        <w:pStyle w:val="Normal"/>
        <w:spacing w:before="120" w:after="0"/>
        <w:jc w:val="both"/>
        <w:rPr/>
      </w:pPr>
      <w:r>
        <w:rPr>
          <w:b w:val="false"/>
          <w:bCs w:val="false"/>
          <w:color w:val="000000"/>
          <w:sz w:val="20"/>
          <w:szCs w:val="20"/>
        </w:rPr>
        <w:t>Aus der Modulgeometrie der SMBG Module ergibt sich daher bei 1008mm Präsentationshöhe ein Abstand Moduloberkante-Boden von 1000 mm, bei 1300mm 1292mm. Die Modulgeometrie bezieht sich auf Standardgleise von ROCO:</w:t>
      </w:r>
    </w:p>
    <w:p>
      <w:pPr>
        <w:pStyle w:val="Normal"/>
        <w:numPr>
          <w:ilvl w:val="0"/>
          <w:numId w:val="1"/>
        </w:numPr>
        <w:jc w:val="left"/>
        <w:rPr/>
      </w:pPr>
      <w:r>
        <w:rPr>
          <w:b w:val="false"/>
          <w:sz w:val="20"/>
          <w:szCs w:val="20"/>
        </w:rPr>
        <w:tab/>
        <w:t>Boden – Moduloberkante:1000 mm</w:t>
      </w:r>
    </w:p>
    <w:p>
      <w:pPr>
        <w:pStyle w:val="Normal"/>
        <w:numPr>
          <w:ilvl w:val="0"/>
          <w:numId w:val="1"/>
        </w:numPr>
        <w:jc w:val="left"/>
        <w:rPr/>
      </w:pPr>
      <w:r>
        <w:rPr>
          <w:b w:val="false"/>
          <w:sz w:val="20"/>
          <w:szCs w:val="20"/>
        </w:rPr>
        <w:tab/>
        <w:t>Bettung:4 mm</w:t>
      </w:r>
    </w:p>
    <w:p>
      <w:pPr>
        <w:pStyle w:val="Normal"/>
        <w:numPr>
          <w:ilvl w:val="0"/>
          <w:numId w:val="1"/>
        </w:numPr>
        <w:jc w:val="left"/>
        <w:rPr/>
      </w:pPr>
      <w:r>
        <w:rPr>
          <w:b w:val="false"/>
          <w:sz w:val="20"/>
          <w:szCs w:val="20"/>
        </w:rPr>
        <w:tab/>
        <w:t>Gleis + Schwellen:4 mm</w:t>
      </w:r>
    </w:p>
    <w:p>
      <w:pPr>
        <w:pStyle w:val="Normal"/>
        <w:numPr>
          <w:ilvl w:val="0"/>
          <w:numId w:val="1"/>
        </w:numPr>
        <w:spacing w:before="120" w:after="0"/>
        <w:jc w:val="both"/>
        <w:rPr>
          <w:b w:val="false"/>
          <w:b w:val="false"/>
          <w:bCs w:val="false"/>
          <w:color w:val="000000"/>
          <w:sz w:val="20"/>
          <w:szCs w:val="20"/>
        </w:rPr>
      </w:pPr>
      <w:r>
        <w:rPr>
          <w:b w:val="false"/>
          <w:bCs w:val="false"/>
          <w:color w:val="000000"/>
          <w:sz w:val="20"/>
          <w:szCs w:val="20"/>
        </w:rPr>
        <w:tab/>
        <w:t>Summe Boden – SOK</w:t>
        <w:tab/>
        <w:t>1008 mm</w:t>
      </w:r>
    </w:p>
    <w:p>
      <w:pPr>
        <w:pStyle w:val="Normal"/>
        <w:jc w:val="left"/>
        <w:rPr>
          <w:b w:val="false"/>
          <w:b w:val="false"/>
          <w:bCs w:val="false"/>
          <w:color w:val="FF4000"/>
          <w:sz w:val="20"/>
          <w:szCs w:val="20"/>
        </w:rPr>
      </w:pPr>
      <w:r>
        <w:rPr>
          <w:b w:val="false"/>
          <w:bCs w:val="false"/>
          <w:color w:val="FF4000"/>
          <w:sz w:val="20"/>
          <w:szCs w:val="20"/>
        </w:rPr>
      </w:r>
    </w:p>
    <w:p>
      <w:pPr>
        <w:pStyle w:val="Normal"/>
        <w:jc w:val="left"/>
        <w:rPr>
          <w:b w:val="false"/>
          <w:b w:val="false"/>
          <w:bCs w:val="false"/>
          <w:color w:val="000000"/>
          <w:sz w:val="24"/>
          <w:szCs w:val="24"/>
        </w:rPr>
      </w:pPr>
      <w:r>
        <w:rPr>
          <w:b w:val="false"/>
          <w:bCs w:val="false"/>
          <w:color w:val="000000"/>
          <w:sz w:val="24"/>
          <w:szCs w:val="24"/>
        </w:rPr>
        <w:t>Hinweise zu den Modulbeinen:</w:t>
      </w:r>
    </w:p>
    <w:p>
      <w:pPr>
        <w:pStyle w:val="Normal"/>
        <w:numPr>
          <w:ilvl w:val="0"/>
          <w:numId w:val="2"/>
        </w:numPr>
        <w:jc w:val="left"/>
        <w:rPr/>
      </w:pPr>
      <w:r>
        <w:rPr>
          <w:b w:val="false"/>
          <w:bCs w:val="false"/>
          <w:color w:val="FF4000"/>
          <w:sz w:val="20"/>
          <w:szCs w:val="20"/>
        </w:rPr>
        <w:t>Die verwendeten Modulbeine müssen beide Ausstellungshöhen (1008mm bzw. 1300mm) ermöglichen. Alternativ können auch zwei verschiedene Beinsätze bereitgehalten werden (wovon allerdingsbgeraten wird).</w:t>
      </w:r>
    </w:p>
    <w:p>
      <w:pPr>
        <w:pStyle w:val="Normal"/>
        <w:numPr>
          <w:ilvl w:val="0"/>
          <w:numId w:val="2"/>
        </w:numPr>
        <w:spacing w:before="120" w:after="0"/>
        <w:jc w:val="both"/>
        <w:rPr/>
      </w:pPr>
      <w:r>
        <w:rPr>
          <w:b w:val="false"/>
          <w:bCs w:val="false"/>
          <w:color w:val="FF4000"/>
          <w:sz w:val="20"/>
          <w:szCs w:val="20"/>
        </w:rPr>
        <w:t xml:space="preserve">Die Modulbeine müssen abgesehen von den beiden Darstellungshöhen jeweils </w:t>
        <w:br/>
        <w:t xml:space="preserve">eine Höhenverstellbarkeit von ± 15 mm ermöglichen (z.B. durch </w:t>
        <w:br/>
        <w:t xml:space="preserve">Schraubfüße), um Bodenunebenheiten auszugleichen. </w:t>
      </w:r>
    </w:p>
    <w:p>
      <w:pPr>
        <w:pStyle w:val="Normal"/>
        <w:numPr>
          <w:ilvl w:val="0"/>
          <w:numId w:val="2"/>
        </w:numPr>
        <w:spacing w:before="120" w:after="0"/>
        <w:jc w:val="both"/>
        <w:rPr/>
      </w:pPr>
      <w:r>
        <w:rPr>
          <w:b w:val="false"/>
          <w:bCs w:val="false"/>
          <w:color w:val="00A933"/>
          <w:sz w:val="20"/>
          <w:szCs w:val="20"/>
        </w:rPr>
        <w:t xml:space="preserve">Die Modulbeine sollen mit den Modulen verschraubt sein (oder festgeklemmt werden), um das Abfallen der Modulbeine beim Anheben der Module zu vermeiden. </w:t>
      </w:r>
    </w:p>
    <w:p>
      <w:pPr>
        <w:pStyle w:val="Normal"/>
        <w:numPr>
          <w:ilvl w:val="0"/>
          <w:numId w:val="2"/>
        </w:numPr>
        <w:spacing w:before="120" w:after="0"/>
        <w:jc w:val="both"/>
        <w:rPr/>
      </w:pPr>
      <w:r>
        <w:rPr>
          <w:b w:val="false"/>
          <w:bCs w:val="false"/>
          <w:color w:val="00A933"/>
          <w:sz w:val="20"/>
          <w:szCs w:val="20"/>
        </w:rPr>
        <w:t>Die Modulbeine müssen ausreichend stabil sein, um einen festen Stand der Module zu ermöglichen.</w:t>
      </w:r>
    </w:p>
    <w:p>
      <w:pPr>
        <w:pStyle w:val="Normal"/>
        <w:numPr>
          <w:ilvl w:val="0"/>
          <w:numId w:val="2"/>
        </w:numPr>
        <w:spacing w:before="120" w:after="0"/>
        <w:jc w:val="both"/>
        <w:rPr>
          <w:color w:val="000000"/>
        </w:rPr>
      </w:pPr>
      <w:r>
        <w:rPr>
          <w:b w:val="false"/>
          <w:bCs w:val="false"/>
          <w:color w:val="000000"/>
          <w:sz w:val="20"/>
          <w:szCs w:val="20"/>
        </w:rPr>
        <w:t>In der SMBG sind drei Modulbein-Arten weit verbreitet:</w:t>
      </w:r>
    </w:p>
    <w:p>
      <w:pPr>
        <w:pStyle w:val="Normal"/>
        <w:numPr>
          <w:ilvl w:val="1"/>
          <w:numId w:val="2"/>
        </w:numPr>
        <w:spacing w:before="120" w:after="0"/>
        <w:jc w:val="both"/>
        <w:rPr/>
      </w:pPr>
      <w:bookmarkStart w:id="0" w:name="__DdeLink__17799_1739308988"/>
      <w:r>
        <w:rPr>
          <w:b w:val="false"/>
          <w:bCs w:val="false"/>
          <w:color w:val="000000"/>
          <w:sz w:val="20"/>
          <w:szCs w:val="20"/>
        </w:rPr>
        <w:t>Verstellbares Modulbein (‚Chrisu-Bein) mit Klemmverbindung</w:t>
      </w:r>
      <w:bookmarkEnd w:id="0"/>
      <w:r>
        <w:rPr>
          <w:b w:val="false"/>
          <w:bCs w:val="false"/>
          <w:color w:val="000000"/>
          <w:sz w:val="20"/>
          <w:szCs w:val="20"/>
        </w:rPr>
        <w:t>. Die aktuelle Modulbein-Version. Schlankes Holzbein mit Höhenverstellung, das meist mittels Klemmverbindung an den Modulen gefestigt wird. Stabil und platzsparend, zeitsparend beim Aufbau.</w:t>
      </w:r>
    </w:p>
    <w:p>
      <w:pPr>
        <w:pStyle w:val="Normal"/>
        <w:numPr>
          <w:ilvl w:val="1"/>
          <w:numId w:val="2"/>
        </w:numPr>
        <w:spacing w:before="120" w:after="0"/>
        <w:jc w:val="both"/>
        <w:rPr/>
      </w:pPr>
      <w:r>
        <w:rPr>
          <w:b w:val="false"/>
          <w:bCs w:val="false"/>
          <w:color w:val="000000"/>
          <w:sz w:val="20"/>
          <w:szCs w:val="20"/>
        </w:rPr>
        <w:t xml:space="preserve">Standard SMBG-Modulbein mit Kopfteil und Verlängerungsstück. Diese Modulbeine (besser Modulbeinpaare, da jeweils zwei Beine mit einer fixen Befestigungsplatte verbunden sind) sind im Verein zahlreich vertreten und werden zur Unterstützung der Module an den Stirnbrettern verwendet. Dabei werden die Modulbeine beim Zusammenbau der Modulanlage mit den Verbindungsschrauben mitgeschraubt. Das ist eine noch immer viel verwendete, stabile Methode, die jedoch </w:t>
        <w:br/>
        <w:t xml:space="preserve">beim Aufbau zeitraubend und daher nicht mehr ganz zeitgemäß ist. </w:t>
      </w:r>
    </w:p>
    <w:p>
      <w:pPr>
        <w:pStyle w:val="Normal"/>
        <w:numPr>
          <w:ilvl w:val="1"/>
          <w:numId w:val="2"/>
        </w:numPr>
        <w:spacing w:before="120" w:after="0"/>
        <w:jc w:val="both"/>
        <w:rPr/>
      </w:pPr>
      <w:r>
        <w:rPr>
          <w:b w:val="false"/>
          <w:bCs w:val="false"/>
          <w:color w:val="000000"/>
          <w:sz w:val="20"/>
          <w:szCs w:val="20"/>
        </w:rPr>
        <w:t>Individuelle Modulbeine für bestimmte Module z.B. Bahnhöfe.</w:t>
      </w:r>
    </w:p>
    <w:p>
      <w:pPr>
        <w:pStyle w:val="Normal"/>
        <w:numPr>
          <w:ilvl w:val="0"/>
          <w:numId w:val="2"/>
        </w:numPr>
        <w:spacing w:before="120" w:after="0"/>
        <w:jc w:val="both"/>
        <w:rPr>
          <w:color w:val="00A933"/>
        </w:rPr>
      </w:pPr>
      <w:r>
        <w:rPr>
          <w:b w:val="false"/>
          <w:bCs w:val="false"/>
          <w:color w:val="00A933"/>
          <w:sz w:val="20"/>
          <w:szCs w:val="20"/>
        </w:rPr>
        <w:t>Im Sinne eines einfachen und raschen Auf- und Abbaus gilt insbesondere bei Modulneubauten die klare Empfehlung, das verstellbares Modulbein (‚Chrisu-Bein‘) mit Klemmverbindung zu verwenden. Diese sind im Verein fallweise käuflich verfügbar (Chrisu).</w:t>
      </w:r>
    </w:p>
    <w:p>
      <w:pPr>
        <w:pStyle w:val="Normal"/>
        <w:numPr>
          <w:ilvl w:val="0"/>
          <w:numId w:val="2"/>
        </w:numPr>
        <w:spacing w:before="120" w:after="0"/>
        <w:jc w:val="both"/>
        <w:rPr>
          <w:color w:val="00A933"/>
        </w:rPr>
      </w:pPr>
      <w:r>
        <w:rPr>
          <w:b w:val="false"/>
          <w:bCs w:val="false"/>
          <w:color w:val="CE181E"/>
          <w:sz w:val="20"/>
          <w:szCs w:val="20"/>
        </w:rPr>
        <w:t>Alle Modulbeine müssen markiert sein (Farbcode, Kurzzeichen - siehe Kapitel Kennzeichnung). Bei Verwendung von Modulbeinen, die nicht freizügig eingesetzt werden können, muss auch die Modulzuordnung angeschrieben sein.</w:t>
      </w:r>
    </w:p>
    <w:p>
      <w:pPr>
        <w:pStyle w:val="Normal"/>
        <w:numPr>
          <w:ilvl w:val="0"/>
          <w:numId w:val="2"/>
        </w:numPr>
        <w:spacing w:before="120" w:after="0"/>
        <w:jc w:val="both"/>
        <w:rPr>
          <w:color w:val="00A933"/>
        </w:rPr>
      </w:pPr>
      <w:r>
        <w:rPr>
          <w:b w:val="false"/>
          <w:bCs w:val="false"/>
          <w:color w:val="00A933"/>
          <w:sz w:val="20"/>
          <w:szCs w:val="20"/>
        </w:rPr>
        <w:t>Module bis 80cm Länge müssen nicht ‚selbststehend‘ ausgeführt werden, längere Module schon. Bei Modulen kürzer als 80cm reicht also ein Modulbeinpaar. Ganz kurze Module (bis etwa 40cm) brauchen gar keine Modulbeine.</w:t>
      </w:r>
    </w:p>
    <w:p>
      <w:pPr>
        <w:pStyle w:val="Normal"/>
        <w:numPr>
          <w:ilvl w:val="0"/>
          <w:numId w:val="2"/>
        </w:numPr>
        <w:jc w:val="both"/>
        <w:rPr/>
      </w:pPr>
      <w:r>
        <w:rPr>
          <w:b w:val="false"/>
          <w:sz w:val="20"/>
          <w:szCs w:val="20"/>
        </w:rPr>
        <w:t>Das ursprüngliche SMBG Konzept mit einem ‚Einheitsfuß pro Modul unter den Stirnbrettern hat sich mittlerweile relativiert, auch durch neue Erfahrungen durch die Teilnahme an Ausstellungen anderer Vereine sowie FREMO.  Daher sind derzeit verschiedene ‚Beinversionen‘ im Einsatz. Überwiegend werden mittlerweile selbststehende Module (großteils mit verstellbaren Modulbeinen) verwendet, die kurzen Zwischenmodule werden meist ohne Modulbein dazwischengespannt.</w:t>
      </w:r>
    </w:p>
    <w:p>
      <w:pPr>
        <w:pStyle w:val="Normal"/>
        <w:numPr>
          <w:ilvl w:val="0"/>
          <w:numId w:val="2"/>
        </w:numPr>
        <w:jc w:val="both"/>
        <w:rPr/>
      </w:pPr>
      <w:r>
        <w:rPr>
          <w:b w:val="false"/>
          <w:sz w:val="20"/>
          <w:szCs w:val="20"/>
        </w:rPr>
        <w:t>Für die Modulbeine gibt es derzeit kein Maßskizzen oder Bauanleitungen.</w:t>
      </w:r>
    </w:p>
    <w:p>
      <w:pPr>
        <w:pStyle w:val="Normal"/>
        <w:jc w:val="both"/>
        <w:rPr/>
      </w:pPr>
      <w:r>
        <w:rPr>
          <w:b w:val="false"/>
          <w:sz w:val="20"/>
          <w:szCs w:val="20"/>
        </w:rPr>
        <w:t>Hier zum besseren Verständnis einige Bilder der am häufigsten verwendeten Modulbeinen.</w:t>
      </w:r>
    </w:p>
    <w:p>
      <w:pPr>
        <w:pStyle w:val="Normal"/>
        <w:jc w:val="both"/>
        <w:rPr>
          <w:b w:val="false"/>
          <w:b w:val="false"/>
          <w:sz w:val="20"/>
          <w:szCs w:val="20"/>
        </w:rPr>
      </w:pPr>
      <w:r>
        <w:rPr>
          <w:b w:val="false"/>
          <w:sz w:val="20"/>
          <w:szCs w:val="20"/>
        </w:rPr>
      </w:r>
    </w:p>
    <w:p>
      <w:pPr>
        <w:pStyle w:val="Normal"/>
        <w:jc w:val="both"/>
        <w:rPr>
          <w:sz w:val="24"/>
          <w:szCs w:val="24"/>
        </w:rPr>
      </w:pPr>
      <w:r>
        <w:rPr>
          <w:b w:val="false"/>
          <w:sz w:val="24"/>
          <w:szCs w:val="24"/>
        </w:rPr>
        <w:t>Verstellbares Modulbein (CHRISU-BEIN):</w:t>
      </w:r>
    </w:p>
    <w:p>
      <w:pPr>
        <w:pStyle w:val="Normal"/>
        <w:jc w:val="both"/>
        <w:rPr>
          <w:b w:val="false"/>
          <w:b w:val="false"/>
          <w:sz w:val="20"/>
          <w:szCs w:val="20"/>
        </w:rPr>
      </w:pPr>
      <w:r>
        <w:rPr>
          <w:b w:val="false"/>
          <w:sz w:val="20"/>
          <w:szCs w:val="20"/>
        </w:rPr>
        <w:drawing>
          <wp:anchor behindDoc="0" distT="0" distB="0" distL="0" distR="0" simplePos="0" locked="0" layoutInCell="1" allowOverlap="1" relativeHeight="2">
            <wp:simplePos x="0" y="0"/>
            <wp:positionH relativeFrom="column">
              <wp:posOffset>-12065</wp:posOffset>
            </wp:positionH>
            <wp:positionV relativeFrom="paragraph">
              <wp:posOffset>80010</wp:posOffset>
            </wp:positionV>
            <wp:extent cx="2962910" cy="2223135"/>
            <wp:effectExtent l="0" t="0" r="0" b="0"/>
            <wp:wrapSquare wrapText="largest"/>
            <wp:docPr id="2"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1" descr=""/>
                    <pic:cNvPicPr>
                      <a:picLocks noChangeAspect="1" noChangeArrowheads="1"/>
                    </pic:cNvPicPr>
                  </pic:nvPicPr>
                  <pic:blipFill>
                    <a:blip r:embed="rId3"/>
                    <a:stretch>
                      <a:fillRect/>
                    </a:stretch>
                  </pic:blipFill>
                  <pic:spPr bwMode="auto">
                    <a:xfrm>
                      <a:off x="0" y="0"/>
                      <a:ext cx="2962910" cy="2223135"/>
                    </a:xfrm>
                    <a:prstGeom prst="rect">
                      <a:avLst/>
                    </a:prstGeom>
                  </pic:spPr>
                </pic:pic>
              </a:graphicData>
            </a:graphic>
          </wp:anchor>
        </w:drawing>
        <w:drawing>
          <wp:anchor behindDoc="0" distT="0" distB="0" distL="0" distR="0" simplePos="0" locked="0" layoutInCell="1" allowOverlap="1" relativeHeight="3">
            <wp:simplePos x="0" y="0"/>
            <wp:positionH relativeFrom="column">
              <wp:posOffset>3069590</wp:posOffset>
            </wp:positionH>
            <wp:positionV relativeFrom="paragraph">
              <wp:posOffset>91440</wp:posOffset>
            </wp:positionV>
            <wp:extent cx="2982595" cy="2237740"/>
            <wp:effectExtent l="0" t="0" r="0" b="0"/>
            <wp:wrapSquare wrapText="largest"/>
            <wp:docPr id="3"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2" descr=""/>
                    <pic:cNvPicPr>
                      <a:picLocks noChangeAspect="1" noChangeArrowheads="1"/>
                    </pic:cNvPicPr>
                  </pic:nvPicPr>
                  <pic:blipFill>
                    <a:blip r:embed="rId4"/>
                    <a:stretch>
                      <a:fillRect/>
                    </a:stretch>
                  </pic:blipFill>
                  <pic:spPr bwMode="auto">
                    <a:xfrm>
                      <a:off x="0" y="0"/>
                      <a:ext cx="2982595" cy="2237740"/>
                    </a:xfrm>
                    <a:prstGeom prst="rect">
                      <a:avLst/>
                    </a:prstGeom>
                  </pic:spPr>
                </pic:pic>
              </a:graphicData>
            </a:graphic>
          </wp:anchor>
        </w:drawing>
      </w:r>
    </w:p>
    <w:p>
      <w:pPr>
        <w:pStyle w:val="Normal"/>
        <w:jc w:val="both"/>
        <w:rPr>
          <w:b w:val="false"/>
          <w:b w:val="false"/>
          <w:sz w:val="20"/>
          <w:szCs w:val="20"/>
        </w:rPr>
      </w:pPr>
      <w:r>
        <w:rPr>
          <w:b w:val="false"/>
          <w:sz w:val="20"/>
          <w:szCs w:val="20"/>
        </w:rPr>
      </w:r>
    </w:p>
    <w:p>
      <w:pPr>
        <w:pStyle w:val="Normal"/>
        <w:jc w:val="left"/>
        <w:rPr/>
      </w:pPr>
      <w:r>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rPr/>
      </w:pPr>
      <w:r>
        <w:rPr/>
      </w:r>
    </w:p>
    <w:p>
      <w:pPr>
        <w:pStyle w:val="Normal"/>
        <w:rPr/>
      </w:pPr>
      <w:r>
        <w:rPr/>
      </w:r>
    </w:p>
    <w:p>
      <w:pPr>
        <w:pStyle w:val="Normal"/>
        <w:jc w:val="left"/>
        <w:rPr>
          <w:b w:val="false"/>
          <w:b w:val="false"/>
          <w:bCs w:val="false"/>
          <w:sz w:val="20"/>
          <w:szCs w:val="20"/>
        </w:rPr>
      </w:pPr>
      <w:r>
        <w:rPr>
          <w:b w:val="false"/>
          <w:bCs w:val="false"/>
          <w:sz w:val="20"/>
          <w:szCs w:val="20"/>
        </w:rPr>
        <w:t>Das Modulbein</w:t>
        <w:tab/>
        <w:tab/>
        <w:tab/>
        <w:tab/>
        <w:tab/>
        <w:tab/>
        <w:t>Der verstellbare Fuß</w:t>
      </w:r>
    </w:p>
    <w:p>
      <w:pPr>
        <w:pStyle w:val="Normal"/>
        <w:jc w:val="left"/>
        <w:rPr/>
      </w:pPr>
      <w:r>
        <w:rPr/>
        <w:drawing>
          <wp:anchor behindDoc="0" distT="0" distB="0" distL="0" distR="0" simplePos="0" locked="0" layoutInCell="1" allowOverlap="1" relativeHeight="4">
            <wp:simplePos x="0" y="0"/>
            <wp:positionH relativeFrom="column">
              <wp:posOffset>35560</wp:posOffset>
            </wp:positionH>
            <wp:positionV relativeFrom="paragraph">
              <wp:posOffset>222250</wp:posOffset>
            </wp:positionV>
            <wp:extent cx="2848610" cy="2137410"/>
            <wp:effectExtent l="0" t="0" r="0" b="0"/>
            <wp:wrapSquare wrapText="largest"/>
            <wp:docPr id="4"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3" descr=""/>
                    <pic:cNvPicPr>
                      <a:picLocks noChangeAspect="1" noChangeArrowheads="1"/>
                    </pic:cNvPicPr>
                  </pic:nvPicPr>
                  <pic:blipFill>
                    <a:blip r:embed="rId5"/>
                    <a:stretch>
                      <a:fillRect/>
                    </a:stretch>
                  </pic:blipFill>
                  <pic:spPr bwMode="auto">
                    <a:xfrm>
                      <a:off x="0" y="0"/>
                      <a:ext cx="2848610" cy="2137410"/>
                    </a:xfrm>
                    <a:prstGeom prst="rect">
                      <a:avLst/>
                    </a:prstGeom>
                  </pic:spPr>
                </pic:pic>
              </a:graphicData>
            </a:graphic>
          </wp:anchor>
        </w:drawing>
        <w:drawing>
          <wp:anchor behindDoc="0" distT="0" distB="0" distL="0" distR="0" simplePos="0" locked="0" layoutInCell="1" allowOverlap="1" relativeHeight="5">
            <wp:simplePos x="0" y="0"/>
            <wp:positionH relativeFrom="column">
              <wp:posOffset>3136900</wp:posOffset>
            </wp:positionH>
            <wp:positionV relativeFrom="paragraph">
              <wp:posOffset>247650</wp:posOffset>
            </wp:positionV>
            <wp:extent cx="2847340" cy="2136140"/>
            <wp:effectExtent l="0" t="0" r="0" b="0"/>
            <wp:wrapSquare wrapText="largest"/>
            <wp:docPr id="5"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4" descr=""/>
                    <pic:cNvPicPr>
                      <a:picLocks noChangeAspect="1" noChangeArrowheads="1"/>
                    </pic:cNvPicPr>
                  </pic:nvPicPr>
                  <pic:blipFill>
                    <a:blip r:embed="rId6"/>
                    <a:stretch>
                      <a:fillRect/>
                    </a:stretch>
                  </pic:blipFill>
                  <pic:spPr bwMode="auto">
                    <a:xfrm>
                      <a:off x="0" y="0"/>
                      <a:ext cx="2847340" cy="2136140"/>
                    </a:xfrm>
                    <a:prstGeom prst="rect">
                      <a:avLst/>
                    </a:prstGeom>
                  </pic:spPr>
                </pic:pic>
              </a:graphicData>
            </a:graphic>
          </wp:anchor>
        </w:drawing>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pPr>
      <w:r>
        <w:rPr/>
      </w:r>
    </w:p>
    <w:p>
      <w:pPr>
        <w:pStyle w:val="Normal"/>
        <w:jc w:val="left"/>
        <w:rPr>
          <w:b w:val="false"/>
          <w:b w:val="false"/>
          <w:bCs w:val="false"/>
          <w:sz w:val="20"/>
          <w:szCs w:val="20"/>
        </w:rPr>
      </w:pPr>
      <w:r>
        <w:rPr>
          <w:b w:val="false"/>
          <w:bCs w:val="false"/>
          <w:sz w:val="20"/>
          <w:szCs w:val="20"/>
        </w:rPr>
      </w:r>
    </w:p>
    <w:p>
      <w:pPr>
        <w:pStyle w:val="Normal"/>
        <w:jc w:val="left"/>
        <w:rPr/>
      </w:pPr>
      <w:r>
        <w:rPr>
          <w:b w:val="false"/>
          <w:bCs w:val="false"/>
          <w:sz w:val="20"/>
          <w:szCs w:val="20"/>
        </w:rPr>
        <w:t>Der Fußteil in der ‚ausgefahrenen‘ Version (für 1300mm). Verstellbar in Sekundenschnelle..</w:t>
      </w:r>
    </w:p>
    <w:p>
      <w:pPr>
        <w:pStyle w:val="Normal"/>
        <w:numPr>
          <w:ilvl w:val="0"/>
          <w:numId w:val="3"/>
        </w:numPr>
        <w:jc w:val="left"/>
        <w:rPr>
          <w:color w:val="729FCF"/>
        </w:rPr>
      </w:pPr>
      <w:r>
        <w:rPr>
          <w:b w:val="false"/>
          <w:bCs w:val="false"/>
          <w:color w:val="729FCF"/>
          <w:sz w:val="20"/>
          <w:szCs w:val="20"/>
        </w:rPr>
        <w:t>Empfehlung: die Positionen für 1008 bzw. 1300mm am beweglichen Teil markieren (Bleistiftstrich - am Bild sichtbar) beschleunigt den Aufbau wesentlich!</w:t>
      </w:r>
    </w:p>
    <w:p>
      <w:pPr>
        <w:pStyle w:val="Normal"/>
        <w:numPr>
          <w:ilvl w:val="0"/>
          <w:numId w:val="3"/>
        </w:numPr>
        <w:jc w:val="left"/>
        <w:rPr>
          <w:color w:val="729FCF"/>
        </w:rPr>
      </w:pPr>
      <w:r>
        <w:rPr>
          <w:b w:val="false"/>
          <w:bCs w:val="false"/>
          <w:color w:val="729FCF"/>
          <w:sz w:val="20"/>
          <w:szCs w:val="20"/>
        </w:rPr>
        <w:t>Achtung! Modulbeine trocken lagern! Bei feuchter Lagerung besteht die Gefahr, dass sich (durch die Trockenheit in der Halle) die Klemmverbindung nach einiger Zeit löst und die Module absinken.</w:t>
      </w:r>
    </w:p>
    <w:p>
      <w:pPr>
        <w:pStyle w:val="Normal"/>
        <w:jc w:val="both"/>
        <w:rPr>
          <w:b w:val="false"/>
          <w:b w:val="false"/>
          <w:bCs w:val="false"/>
          <w:color w:val="000000"/>
          <w:sz w:val="24"/>
          <w:szCs w:val="24"/>
        </w:rPr>
      </w:pPr>
      <w:r>
        <w:rPr>
          <w:b w:val="false"/>
          <w:bCs w:val="false"/>
          <w:color w:val="000000"/>
          <w:sz w:val="24"/>
          <w:szCs w:val="24"/>
        </w:rPr>
      </w:r>
    </w:p>
    <w:p>
      <w:pPr>
        <w:pStyle w:val="Normal"/>
        <w:jc w:val="both"/>
        <w:rPr/>
      </w:pPr>
      <w:r>
        <w:rPr>
          <w:b w:val="false"/>
          <w:bCs w:val="false"/>
          <w:color w:val="000000"/>
          <w:sz w:val="24"/>
          <w:szCs w:val="24"/>
        </w:rPr>
        <w:t>Standard SMBG-Modulbein</w:t>
      </w:r>
      <w:r>
        <w:rPr>
          <w:b w:val="false"/>
          <w:sz w:val="24"/>
          <w:szCs w:val="24"/>
        </w:rPr>
        <w:t>:</w:t>
      </w:r>
    </w:p>
    <w:p>
      <w:pPr>
        <w:pStyle w:val="Normal"/>
        <w:jc w:val="both"/>
        <w:rPr>
          <w:sz w:val="20"/>
          <w:szCs w:val="20"/>
        </w:rPr>
      </w:pPr>
      <w:r>
        <w:rPr>
          <w:b w:val="false"/>
          <w:sz w:val="20"/>
          <w:szCs w:val="20"/>
        </w:rPr>
        <w:t>Doppeltes Modulbein mit Kopfteil (wird beim Zusammenschrauben der Module mitgeschraubt und steht unter den Modulstirnbrettern. Breite des Doppelmodulbeines 300mm (entspricht der Stirnbrettbreite).</w:t>
      </w:r>
    </w:p>
    <w:p>
      <w:pPr>
        <w:pStyle w:val="Normal"/>
        <w:jc w:val="both"/>
        <w:rPr>
          <w:b w:val="false"/>
          <w:b w:val="false"/>
        </w:rPr>
      </w:pPr>
      <w:r>
        <w:rPr>
          <w:b w:val="false"/>
        </w:rPr>
        <w:drawing>
          <wp:anchor behindDoc="0" distT="0" distB="0" distL="0" distR="0" simplePos="0" locked="0" layoutInCell="1" allowOverlap="1" relativeHeight="6">
            <wp:simplePos x="0" y="0"/>
            <wp:positionH relativeFrom="column">
              <wp:posOffset>-49530</wp:posOffset>
            </wp:positionH>
            <wp:positionV relativeFrom="paragraph">
              <wp:posOffset>219075</wp:posOffset>
            </wp:positionV>
            <wp:extent cx="3222625" cy="1956435"/>
            <wp:effectExtent l="0" t="0" r="0" b="0"/>
            <wp:wrapSquare wrapText="largest"/>
            <wp:docPr id="6"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5" descr=""/>
                    <pic:cNvPicPr>
                      <a:picLocks noChangeAspect="1" noChangeArrowheads="1"/>
                    </pic:cNvPicPr>
                  </pic:nvPicPr>
                  <pic:blipFill>
                    <a:blip r:embed="rId7"/>
                    <a:stretch>
                      <a:fillRect/>
                    </a:stretch>
                  </pic:blipFill>
                  <pic:spPr bwMode="auto">
                    <a:xfrm>
                      <a:off x="0" y="0"/>
                      <a:ext cx="3222625" cy="1956435"/>
                    </a:xfrm>
                    <a:prstGeom prst="rect">
                      <a:avLst/>
                    </a:prstGeom>
                  </pic:spPr>
                </pic:pic>
              </a:graphicData>
            </a:graphic>
          </wp:anchor>
        </w:drawing>
        <w:drawing>
          <wp:anchor behindDoc="0" distT="0" distB="0" distL="0" distR="0" simplePos="0" locked="0" layoutInCell="1" allowOverlap="1" relativeHeight="7">
            <wp:simplePos x="0" y="0"/>
            <wp:positionH relativeFrom="column">
              <wp:posOffset>3293745</wp:posOffset>
            </wp:positionH>
            <wp:positionV relativeFrom="paragraph">
              <wp:posOffset>219075</wp:posOffset>
            </wp:positionV>
            <wp:extent cx="3375025" cy="1975485"/>
            <wp:effectExtent l="0" t="0" r="0" b="0"/>
            <wp:wrapSquare wrapText="largest"/>
            <wp:docPr id="7" name="Bild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6" descr=""/>
                    <pic:cNvPicPr>
                      <a:picLocks noChangeAspect="1" noChangeArrowheads="1"/>
                    </pic:cNvPicPr>
                  </pic:nvPicPr>
                  <pic:blipFill>
                    <a:blip r:embed="rId8"/>
                    <a:stretch>
                      <a:fillRect/>
                    </a:stretch>
                  </pic:blipFill>
                  <pic:spPr bwMode="auto">
                    <a:xfrm>
                      <a:off x="0" y="0"/>
                      <a:ext cx="3375025" cy="1975485"/>
                    </a:xfrm>
                    <a:prstGeom prst="rect">
                      <a:avLst/>
                    </a:prstGeom>
                  </pic:spPr>
                </pic:pic>
              </a:graphicData>
            </a:graphic>
          </wp:anchor>
        </w:drawing>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color w:val="000000"/>
          <w:sz w:val="20"/>
          <w:szCs w:val="20"/>
        </w:rPr>
      </w:pPr>
      <w:r>
        <w:rPr>
          <w:b w:val="false"/>
          <w:color w:val="000000"/>
          <w:sz w:val="20"/>
          <w:szCs w:val="20"/>
        </w:rPr>
        <w:t>Das Doppelmodulbein in Position 1008mm. Gut sichtbar die Schraubfüße zur Justierung. Rechts das Zusatzteil zur Verlängerung auf 1300mm.</w:t>
      </w:r>
    </w:p>
    <w:p>
      <w:pPr>
        <w:pStyle w:val="Normal"/>
        <w:jc w:val="both"/>
        <w:rPr>
          <w:b w:val="false"/>
          <w:b w:val="false"/>
        </w:rPr>
      </w:pPr>
      <w:r>
        <w:rPr>
          <w:b w:val="false"/>
        </w:rPr>
        <w:drawing>
          <wp:anchor behindDoc="0" distT="0" distB="0" distL="0" distR="0" simplePos="0" locked="0" layoutInCell="1" allowOverlap="1" relativeHeight="8">
            <wp:simplePos x="0" y="0"/>
            <wp:positionH relativeFrom="column">
              <wp:posOffset>0</wp:posOffset>
            </wp:positionH>
            <wp:positionV relativeFrom="paragraph">
              <wp:posOffset>123825</wp:posOffset>
            </wp:positionV>
            <wp:extent cx="3236595" cy="2428240"/>
            <wp:effectExtent l="0" t="0" r="0" b="0"/>
            <wp:wrapSquare wrapText="largest"/>
            <wp:docPr id="8" name="Bild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7" descr=""/>
                    <pic:cNvPicPr>
                      <a:picLocks noChangeAspect="1" noChangeArrowheads="1"/>
                    </pic:cNvPicPr>
                  </pic:nvPicPr>
                  <pic:blipFill>
                    <a:blip r:embed="rId9"/>
                    <a:stretch>
                      <a:fillRect/>
                    </a:stretch>
                  </pic:blipFill>
                  <pic:spPr bwMode="auto">
                    <a:xfrm>
                      <a:off x="0" y="0"/>
                      <a:ext cx="3236595" cy="2428240"/>
                    </a:xfrm>
                    <a:prstGeom prst="rect">
                      <a:avLst/>
                    </a:prstGeom>
                  </pic:spPr>
                </pic:pic>
              </a:graphicData>
            </a:graphic>
          </wp:anchor>
        </w:drawing>
        <w:drawing>
          <wp:anchor behindDoc="0" distT="0" distB="0" distL="0" distR="0" simplePos="0" locked="0" layoutInCell="1" allowOverlap="1" relativeHeight="9">
            <wp:simplePos x="0" y="0"/>
            <wp:positionH relativeFrom="column">
              <wp:posOffset>3386455</wp:posOffset>
            </wp:positionH>
            <wp:positionV relativeFrom="paragraph">
              <wp:posOffset>126365</wp:posOffset>
            </wp:positionV>
            <wp:extent cx="3264535" cy="2449195"/>
            <wp:effectExtent l="0" t="0" r="0" b="0"/>
            <wp:wrapSquare wrapText="largest"/>
            <wp:docPr id="9" name="Bild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8" descr=""/>
                    <pic:cNvPicPr>
                      <a:picLocks noChangeAspect="1" noChangeArrowheads="1"/>
                    </pic:cNvPicPr>
                  </pic:nvPicPr>
                  <pic:blipFill>
                    <a:blip r:embed="rId10"/>
                    <a:stretch>
                      <a:fillRect/>
                    </a:stretch>
                  </pic:blipFill>
                  <pic:spPr bwMode="auto">
                    <a:xfrm>
                      <a:off x="0" y="0"/>
                      <a:ext cx="3264535" cy="2449195"/>
                    </a:xfrm>
                    <a:prstGeom prst="rect">
                      <a:avLst/>
                    </a:prstGeom>
                  </pic:spPr>
                </pic:pic>
              </a:graphicData>
            </a:graphic>
          </wp:anchor>
        </w:drawing>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rPr>
      </w:pPr>
      <w:r>
        <w:rPr>
          <w:b w:val="false"/>
          <w:color w:val="000000"/>
          <w:sz w:val="20"/>
          <w:szCs w:val="20"/>
        </w:rPr>
        <w:t>Das Verbindungsbrett aus Sperrholz und rechts die Verlängerung (einseitig) auf 1300mm. Das Umstellen erfolgt einfach mittels einer Flügelmutter. Unten die Modulbeinaufnahme im Modul.</w:t>
      </w:r>
    </w:p>
    <w:p>
      <w:pPr>
        <w:pStyle w:val="Normal"/>
        <w:jc w:val="both"/>
        <w:rPr>
          <w:b w:val="false"/>
          <w:b w:val="false"/>
        </w:rPr>
      </w:pPr>
      <w:r>
        <w:rPr>
          <w:b w:val="false"/>
        </w:rPr>
        <w:drawing>
          <wp:anchor behindDoc="0" distT="0" distB="0" distL="0" distR="0" simplePos="0" locked="0" layoutInCell="1" allowOverlap="1" relativeHeight="10">
            <wp:simplePos x="0" y="0"/>
            <wp:positionH relativeFrom="column">
              <wp:posOffset>-19050</wp:posOffset>
            </wp:positionH>
            <wp:positionV relativeFrom="paragraph">
              <wp:posOffset>76200</wp:posOffset>
            </wp:positionV>
            <wp:extent cx="4150995" cy="3072130"/>
            <wp:effectExtent l="0" t="0" r="0" b="0"/>
            <wp:wrapSquare wrapText="largest"/>
            <wp:docPr id="10" name="Bild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9" descr=""/>
                    <pic:cNvPicPr>
                      <a:picLocks noChangeAspect="1" noChangeArrowheads="1"/>
                    </pic:cNvPicPr>
                  </pic:nvPicPr>
                  <pic:blipFill>
                    <a:blip r:embed="rId11"/>
                    <a:stretch>
                      <a:fillRect/>
                    </a:stretch>
                  </pic:blipFill>
                  <pic:spPr bwMode="auto">
                    <a:xfrm>
                      <a:off x="0" y="0"/>
                      <a:ext cx="4150995" cy="3072130"/>
                    </a:xfrm>
                    <a:prstGeom prst="rect">
                      <a:avLst/>
                    </a:prstGeom>
                  </pic:spPr>
                </pic:pic>
              </a:graphicData>
            </a:graphic>
          </wp:anchor>
        </w:drawing>
      </w:r>
    </w:p>
    <w:p>
      <w:pPr>
        <w:pStyle w:val="Normal"/>
        <w:jc w:val="both"/>
        <w:rPr>
          <w:b w:val="false"/>
          <w:b w:val="false"/>
        </w:rPr>
      </w:pPr>
      <w:r>
        <w:rPr>
          <w:b w:val="false"/>
        </w:rPr>
      </w:r>
    </w:p>
    <w:p>
      <w:pPr>
        <w:pStyle w:val="Normal"/>
        <w:jc w:val="both"/>
        <w:rPr>
          <w:b w:val="false"/>
          <w:b w:val="false"/>
        </w:rPr>
      </w:pPr>
      <w:r>
        <w:rPr>
          <w:b w:val="false"/>
        </w:rPr>
      </w:r>
    </w:p>
    <w:p>
      <w:pPr>
        <w:pStyle w:val="Normal"/>
        <w:jc w:val="both"/>
        <w:rPr>
          <w:b w:val="false"/>
          <w:b w:val="false"/>
          <w:color w:val="000000"/>
          <w:sz w:val="20"/>
          <w:szCs w:val="20"/>
        </w:rPr>
      </w:pPr>
      <w:r>
        <w:rPr>
          <w:b w:val="false"/>
          <w:color w:val="000000"/>
          <w:sz w:val="20"/>
          <w:szCs w:val="20"/>
        </w:rPr>
      </w:r>
    </w:p>
    <w:p>
      <w:pPr>
        <w:pStyle w:val="Normal"/>
        <w:jc w:val="both"/>
        <w:rPr/>
      </w:pPr>
      <w:r>
        <w:rPr>
          <w:b w:val="false"/>
          <w:color w:val="000000"/>
          <w:sz w:val="20"/>
          <w:szCs w:val="20"/>
        </w:rPr>
        <w:t xml:space="preserve">  </w:t>
      </w:r>
    </w:p>
    <w:sectPr>
      <w:footerReference w:type="default" r:id="rId12"/>
      <w:type w:val="nextPage"/>
      <w:pgSz w:w="11906" w:h="16838"/>
      <w:pgMar w:left="1134" w:right="964" w:header="0" w:top="225" w:footer="124" w:bottom="73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tabs>
        <w:tab w:val="center" w:pos="4536" w:leader="none"/>
        <w:tab w:val="right" w:pos="9072" w:leader="none"/>
      </w:tabs>
      <w:spacing w:before="120" w:after="0"/>
      <w:rPr/>
    </w:pPr>
    <w:r>
      <w:rPr>
        <w:b w:val="false"/>
        <w:bCs w:val="false"/>
        <w:sz w:val="24"/>
        <w:lang w:val="de-AT"/>
      </w:rPr>
      <w:t xml:space="preserve">Seite </w:t>
    </w:r>
    <w:r>
      <w:rPr>
        <w:b w:val="false"/>
        <w:bCs w:val="false"/>
        <w:sz w:val="24"/>
      </w:rPr>
      <w:fldChar w:fldCharType="begin"/>
    </w:r>
    <w:r>
      <w:rPr>
        <w:sz w:val="24"/>
        <w:b w:val="false"/>
        <w:bCs w:val="false"/>
      </w:rPr>
      <w:instrText> PAGE </w:instrText>
    </w:r>
    <w:r>
      <w:rPr>
        <w:sz w:val="24"/>
        <w:b w:val="false"/>
        <w:bCs w:val="false"/>
      </w:rPr>
      <w:fldChar w:fldCharType="separate"/>
    </w:r>
    <w:r>
      <w:rPr>
        <w:sz w:val="24"/>
        <w:b w:val="false"/>
        <w:bCs w:val="false"/>
      </w:rPr>
      <w:t>3</w:t>
    </w:r>
    <w:r>
      <w:rPr>
        <w:sz w:val="24"/>
        <w:b w:val="false"/>
        <w:bCs w:val="false"/>
      </w:rPr>
      <w:fldChar w:fldCharType="end"/>
    </w:r>
  </w:p>
  <w:p>
    <w:pPr>
      <w:pStyle w:val="Fuzeile"/>
      <w:rPr>
        <w:lang w:val="de-AT"/>
      </w:rPr>
    </w:pPr>
    <w:r>
      <w:rPr>
        <w:lang w:val="de-AT"/>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b w:val="false"/>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bullet"/>
      <w:lvlText w:val=""/>
      <w:lvlJc w:val="left"/>
      <w:pPr>
        <w:tabs>
          <w:tab w:val="num" w:pos="720"/>
        </w:tabs>
        <w:ind w:left="720" w:hanging="360"/>
      </w:pPr>
      <w:rPr>
        <w:rFonts w:ascii="Symbol" w:hAnsi="Symbol" w:cs="Symbol" w:hint="default"/>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09"/>
  <w:autoHyphenation w:val="true"/>
  <w:compat/>
  <w:themeFontLang w:val="de-A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de-AT" w:eastAsia="de-AT"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115b60"/>
    <w:pPr>
      <w:widowControl/>
      <w:suppressAutoHyphens w:val="false"/>
      <w:bidi w:val="0"/>
      <w:spacing w:before="120" w:after="0"/>
      <w:jc w:val="center"/>
    </w:pPr>
    <w:rPr>
      <w:rFonts w:ascii="Arial" w:hAnsi="Arial" w:eastAsia="Times New Roman" w:cs="Arial"/>
      <w:b/>
      <w:color w:val="auto"/>
      <w:kern w:val="0"/>
      <w:sz w:val="36"/>
      <w:szCs w:val="36"/>
      <w:lang w:val="de-DE" w:eastAsia="de-DE" w:bidi="ar-SA"/>
    </w:rPr>
  </w:style>
  <w:style w:type="paragraph" w:styleId="Berschrift1">
    <w:name w:val="Heading 1"/>
    <w:basedOn w:val="Normal"/>
    <w:next w:val="Normal"/>
    <w:qFormat/>
    <w:rsid w:val="00fb3dfb"/>
    <w:pPr>
      <w:keepNext w:val="true"/>
      <w:spacing w:before="240" w:after="60"/>
      <w:outlineLvl w:val="0"/>
    </w:pPr>
    <w:rPr>
      <w:bCs/>
      <w:kern w:val="2"/>
      <w:sz w:val="32"/>
      <w:szCs w:val="32"/>
    </w:rPr>
  </w:style>
  <w:style w:type="paragraph" w:styleId="Berschrift2">
    <w:name w:val="Heading 2"/>
    <w:basedOn w:val="Normal"/>
    <w:next w:val="Normal"/>
    <w:qFormat/>
    <w:rsid w:val="00846711"/>
    <w:pPr>
      <w:keepNext w:val="true"/>
      <w:spacing w:before="240" w:after="60"/>
      <w:outlineLvl w:val="1"/>
    </w:pPr>
    <w:rPr>
      <w:bCs/>
      <w:i/>
      <w:iCs/>
      <w:sz w:val="28"/>
      <w:szCs w:val="28"/>
    </w:rPr>
  </w:style>
  <w:style w:type="paragraph" w:styleId="Berschrift3">
    <w:name w:val="Heading 3"/>
    <w:basedOn w:val="Normal"/>
    <w:next w:val="Normal"/>
    <w:qFormat/>
    <w:rsid w:val="00fb3dfb"/>
    <w:pPr>
      <w:keepNext w:val="true"/>
      <w:spacing w:before="240" w:after="60"/>
      <w:outlineLvl w:val="2"/>
    </w:pPr>
    <w:rPr>
      <w:bCs/>
      <w:sz w:val="26"/>
      <w:szCs w:val="26"/>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a919fc"/>
    <w:rPr/>
  </w:style>
  <w:style w:type="character" w:styleId="SprechblasentextZchn" w:customStyle="1">
    <w:name w:val="Sprechblasentext Zchn"/>
    <w:link w:val="Sprechblasentext"/>
    <w:qFormat/>
    <w:rsid w:val="00544f95"/>
    <w:rPr>
      <w:rFonts w:ascii="Tahoma" w:hAnsi="Tahoma" w:cs="Tahoma"/>
      <w:sz w:val="16"/>
      <w:szCs w:val="16"/>
    </w:rPr>
  </w:style>
  <w:style w:type="character" w:styleId="KopfzeileZchn" w:customStyle="1">
    <w:name w:val="Kopfzeile Zchn"/>
    <w:link w:val="Kopfzeile"/>
    <w:uiPriority w:val="99"/>
    <w:qFormat/>
    <w:rsid w:val="00bd205e"/>
    <w:rPr>
      <w:sz w:val="24"/>
      <w:szCs w:val="24"/>
    </w:rPr>
  </w:style>
  <w:style w:type="character" w:styleId="Annotationreference">
    <w:name w:val="annotation reference"/>
    <w:basedOn w:val="DefaultParagraphFont"/>
    <w:qFormat/>
    <w:rsid w:val="004f3554"/>
    <w:rPr>
      <w:sz w:val="16"/>
      <w:szCs w:val="16"/>
    </w:rPr>
  </w:style>
  <w:style w:type="character" w:styleId="KommentartextZchn" w:customStyle="1">
    <w:name w:val="Kommentartext Zchn"/>
    <w:basedOn w:val="DefaultParagraphFont"/>
    <w:link w:val="Kommentartext"/>
    <w:qFormat/>
    <w:rsid w:val="004f3554"/>
    <w:rPr>
      <w:lang w:val="de-DE" w:eastAsia="de-DE"/>
    </w:rPr>
  </w:style>
  <w:style w:type="character" w:styleId="KommentarthemaZchn" w:customStyle="1">
    <w:name w:val="Kommentarthema Zchn"/>
    <w:basedOn w:val="KommentartextZchn"/>
    <w:link w:val="Kommentarthema"/>
    <w:qFormat/>
    <w:rsid w:val="004f3554"/>
    <w:rPr>
      <w:b/>
      <w:bCs/>
    </w:rPr>
  </w:style>
  <w:style w:type="character" w:styleId="Internetverknpfung">
    <w:name w:val="Internetverknüpfung"/>
    <w:basedOn w:val="DefaultParagraphFont"/>
    <w:rsid w:val="00f72099"/>
    <w:rPr>
      <w:color w:val="0000FF" w:themeColor="hyperlink"/>
      <w:u w:val="single"/>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vertAlign w:val="superscript"/>
    </w:rPr>
  </w:style>
  <w:style w:type="character" w:styleId="ListLabel5">
    <w:name w:val="ListLabel 5"/>
    <w:qFormat/>
    <w:rPr>
      <w:rFonts w:eastAsia="Times New Roman" w:cs="Times New Roman"/>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rFonts w:cs="Courier New"/>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rFonts w:cs="Courier New"/>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rFonts w:cs="Courier New"/>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eastAsia="Times New Roman" w:cs="Times New Roman"/>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eastAsia="Times New Roman" w:cs="Times New Roman"/>
    </w:rPr>
  </w:style>
  <w:style w:type="character" w:styleId="ListLabel50">
    <w:name w:val="ListLabel 50"/>
    <w:qFormat/>
    <w:rPr>
      <w:rFonts w:eastAsia="Times New Roman" w:cs="Arial"/>
    </w:rPr>
  </w:style>
  <w:style w:type="character" w:styleId="ListLabel51">
    <w:name w:val="ListLabel 51"/>
    <w:qFormat/>
    <w:rPr>
      <w:rFonts w:cs="Courier New"/>
    </w:rPr>
  </w:style>
  <w:style w:type="character" w:styleId="ListLabel52">
    <w:name w:val="ListLabel 52"/>
    <w:qFormat/>
    <w:rPr>
      <w:rFonts w:cs="Courier New"/>
    </w:rPr>
  </w:style>
  <w:style w:type="character" w:styleId="ListLabel53">
    <w:name w:val="ListLabel 53"/>
    <w:qFormat/>
    <w:rPr>
      <w:rFonts w:cs="Courier New"/>
    </w:rPr>
  </w:style>
  <w:style w:type="character" w:styleId="ListLabel54">
    <w:name w:val="ListLabel 54"/>
    <w:qFormat/>
    <w:rPr>
      <w:rFonts w:eastAsia="Times New Roman" w:cs="Arial"/>
    </w:rPr>
  </w:style>
  <w:style w:type="character" w:styleId="ListLabel55">
    <w:name w:val="ListLabel 55"/>
    <w:qFormat/>
    <w:rPr>
      <w:rFonts w:cs="Courier New"/>
    </w:rPr>
  </w:style>
  <w:style w:type="character" w:styleId="ListLabel56">
    <w:name w:val="ListLabel 56"/>
    <w:qFormat/>
    <w:rPr>
      <w:rFonts w:cs="Courier New"/>
    </w:rPr>
  </w:style>
  <w:style w:type="character" w:styleId="ListLabel57">
    <w:name w:val="ListLabel 57"/>
    <w:qFormat/>
    <w:rPr>
      <w:rFonts w:cs="Courier New"/>
    </w:rPr>
  </w:style>
  <w:style w:type="character" w:styleId="ListLabel58">
    <w:name w:val="ListLabel 58"/>
    <w:qFormat/>
    <w:rPr>
      <w:rFonts w:cs="Courier New"/>
    </w:rPr>
  </w:style>
  <w:style w:type="character" w:styleId="ListLabel59">
    <w:name w:val="ListLabel 59"/>
    <w:qFormat/>
    <w:rPr>
      <w:rFonts w:cs="Courier New"/>
    </w:rPr>
  </w:style>
  <w:style w:type="character" w:styleId="ListLabel60">
    <w:name w:val="ListLabel 60"/>
    <w:qFormat/>
    <w:rPr>
      <w:rFonts w:cs="Courier New"/>
    </w:rPr>
  </w:style>
  <w:style w:type="character" w:styleId="Aufzhlungszeichen">
    <w:name w:val="Aufzählungszeichen"/>
    <w:qFormat/>
    <w:rPr>
      <w:rFonts w:ascii="OpenSymbol" w:hAnsi="OpenSymbol" w:eastAsia="OpenSymbol" w:cs="OpenSymbol"/>
    </w:rPr>
  </w:style>
  <w:style w:type="character" w:styleId="ListLabel61">
    <w:name w:val="ListLabel 61"/>
    <w:qFormat/>
    <w:rPr>
      <w:rFonts w:cs="OpenSymbol"/>
      <w:b w:val="false"/>
      <w:sz w:val="20"/>
    </w:rPr>
  </w:style>
  <w:style w:type="character" w:styleId="ListLabel62">
    <w:name w:val="ListLabel 62"/>
    <w:qFormat/>
    <w:rPr>
      <w:rFonts w:cs="OpenSymbol"/>
    </w:rPr>
  </w:style>
  <w:style w:type="character" w:styleId="ListLabel63">
    <w:name w:val="ListLabel 63"/>
    <w:qFormat/>
    <w:rPr>
      <w:rFonts w:cs="OpenSymbol"/>
    </w:rPr>
  </w:style>
  <w:style w:type="character" w:styleId="ListLabel64">
    <w:name w:val="ListLabel 64"/>
    <w:qFormat/>
    <w:rPr>
      <w:rFonts w:cs="OpenSymbol"/>
    </w:rPr>
  </w:style>
  <w:style w:type="character" w:styleId="ListLabel65">
    <w:name w:val="ListLabel 65"/>
    <w:qFormat/>
    <w:rPr>
      <w:rFonts w:cs="OpenSymbol"/>
    </w:rPr>
  </w:style>
  <w:style w:type="character" w:styleId="ListLabel66">
    <w:name w:val="ListLabel 66"/>
    <w:qFormat/>
    <w:rPr>
      <w:rFonts w:cs="OpenSymbol"/>
    </w:rPr>
  </w:style>
  <w:style w:type="character" w:styleId="ListLabel67">
    <w:name w:val="ListLabel 67"/>
    <w:qFormat/>
    <w:rPr>
      <w:rFonts w:cs="OpenSymbol"/>
    </w:rPr>
  </w:style>
  <w:style w:type="character" w:styleId="ListLabel68">
    <w:name w:val="ListLabel 68"/>
    <w:qFormat/>
    <w:rPr>
      <w:rFonts w:cs="OpenSymbol"/>
    </w:rPr>
  </w:style>
  <w:style w:type="character" w:styleId="ListLabel69">
    <w:name w:val="ListLabel 69"/>
    <w:qFormat/>
    <w:rPr>
      <w:rFonts w:cs="OpenSymbol"/>
    </w:rPr>
  </w:style>
  <w:style w:type="character" w:styleId="ListLabel70">
    <w:name w:val="ListLabel 70"/>
    <w:qFormat/>
    <w:rPr>
      <w:rFonts w:cs="OpenSymbol"/>
    </w:rPr>
  </w:style>
  <w:style w:type="character" w:styleId="ListLabel71">
    <w:name w:val="ListLabel 71"/>
    <w:qFormat/>
    <w:rPr>
      <w:rFonts w:cs="OpenSymbol"/>
    </w:rPr>
  </w:style>
  <w:style w:type="character" w:styleId="ListLabel72">
    <w:name w:val="ListLabel 72"/>
    <w:qFormat/>
    <w:rPr>
      <w:rFonts w:cs="OpenSymbol"/>
    </w:rPr>
  </w:style>
  <w:style w:type="character" w:styleId="ListLabel73">
    <w:name w:val="ListLabel 73"/>
    <w:qFormat/>
    <w:rPr>
      <w:rFonts w:cs="OpenSymbol"/>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b w:val="false"/>
      <w:sz w:val="20"/>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cs="OpenSymbol"/>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stLabel91">
    <w:name w:val="ListLabel 91"/>
    <w:qFormat/>
    <w:rPr>
      <w:rFonts w:cs="OpenSymbol"/>
    </w:rPr>
  </w:style>
  <w:style w:type="character" w:styleId="ListLabel92">
    <w:name w:val="ListLabel 92"/>
    <w:qFormat/>
    <w:rPr>
      <w:rFonts w:cs="OpenSymbol"/>
    </w:rPr>
  </w:style>
  <w:style w:type="character" w:styleId="ListLabel93">
    <w:name w:val="ListLabel 93"/>
    <w:qFormat/>
    <w:rPr>
      <w:rFonts w:cs="OpenSymbol"/>
    </w:rPr>
  </w:style>
  <w:style w:type="character" w:styleId="ListLabel94">
    <w:name w:val="ListLabel 94"/>
    <w:qFormat/>
    <w:rPr>
      <w:rFonts w:cs="OpenSymbol"/>
    </w:rPr>
  </w:style>
  <w:style w:type="character" w:styleId="ListLabel95">
    <w:name w:val="ListLabel 95"/>
    <w:qFormat/>
    <w:rPr>
      <w:rFonts w:cs="OpenSymbol"/>
    </w:rPr>
  </w:style>
  <w:style w:type="character" w:styleId="ListLabel96">
    <w:name w:val="ListLabel 96"/>
    <w:qFormat/>
    <w:rPr>
      <w:rFonts w:cs="OpenSymbol"/>
    </w:rPr>
  </w:style>
  <w:style w:type="character" w:styleId="ListLabel97">
    <w:name w:val="ListLabel 97"/>
    <w:qFormat/>
    <w:rPr>
      <w:rFonts w:cs="OpenSymbol"/>
    </w:rPr>
  </w:style>
  <w:style w:type="character" w:styleId="ListLabel98">
    <w:name w:val="ListLabel 98"/>
    <w:qFormat/>
    <w:rPr>
      <w:rFonts w:cs="OpenSymbol"/>
    </w:rPr>
  </w:style>
  <w:style w:type="character" w:styleId="ListLabel99">
    <w:name w:val="ListLabel 99"/>
    <w:qFormat/>
    <w:rPr>
      <w:rFonts w:cs="OpenSymbol"/>
    </w:rPr>
  </w:style>
  <w:style w:type="character" w:styleId="ListLabel100">
    <w:name w:val="ListLabel 100"/>
    <w:qFormat/>
    <w:rPr>
      <w:rFonts w:cs="OpenSymbol"/>
    </w:rPr>
  </w:style>
  <w:style w:type="character" w:styleId="ListLabel101">
    <w:name w:val="ListLabel 101"/>
    <w:qFormat/>
    <w:rPr>
      <w:rFonts w:cs="OpenSymbol"/>
    </w:rPr>
  </w:style>
  <w:style w:type="character" w:styleId="ListLabel102">
    <w:name w:val="ListLabel 102"/>
    <w:qFormat/>
    <w:rPr>
      <w:rFonts w:cs="OpenSymbol"/>
    </w:rPr>
  </w:style>
  <w:style w:type="character" w:styleId="ListLabel103">
    <w:name w:val="ListLabel 103"/>
    <w:qFormat/>
    <w:rPr>
      <w:rFonts w:cs="OpenSymbol"/>
    </w:rPr>
  </w:style>
  <w:style w:type="character" w:styleId="ListLabel104">
    <w:name w:val="ListLabel 104"/>
    <w:qFormat/>
    <w:rPr>
      <w:rFonts w:cs="OpenSymbol"/>
    </w:rPr>
  </w:style>
  <w:style w:type="character" w:styleId="ListLabel105">
    <w:name w:val="ListLabel 105"/>
    <w:qFormat/>
    <w:rPr>
      <w:rFonts w:cs="OpenSymbol"/>
    </w:rPr>
  </w:style>
  <w:style w:type="character" w:styleId="ListLabel106">
    <w:name w:val="ListLabel 106"/>
    <w:qFormat/>
    <w:rPr>
      <w:rFonts w:cs="OpenSymbol"/>
      <w:b w:val="false"/>
      <w:sz w:val="20"/>
    </w:rPr>
  </w:style>
  <w:style w:type="character" w:styleId="ListLabel107">
    <w:name w:val="ListLabel 107"/>
    <w:qFormat/>
    <w:rPr>
      <w:rFonts w:cs="OpenSymbol"/>
    </w:rPr>
  </w:style>
  <w:style w:type="character" w:styleId="ListLabel108">
    <w:name w:val="ListLabel 108"/>
    <w:qFormat/>
    <w:rPr>
      <w:rFonts w:cs="OpenSymbol"/>
    </w:rPr>
  </w:style>
  <w:style w:type="character" w:styleId="ListLabel109">
    <w:name w:val="ListLabel 109"/>
    <w:qFormat/>
    <w:rPr>
      <w:rFonts w:cs="OpenSymbol"/>
    </w:rPr>
  </w:style>
  <w:style w:type="character" w:styleId="ListLabel110">
    <w:name w:val="ListLabel 110"/>
    <w:qFormat/>
    <w:rPr>
      <w:rFonts w:cs="OpenSymbol"/>
    </w:rPr>
  </w:style>
  <w:style w:type="character" w:styleId="ListLabel111">
    <w:name w:val="ListLabel 111"/>
    <w:qFormat/>
    <w:rPr>
      <w:rFonts w:cs="OpenSymbol"/>
    </w:rPr>
  </w:style>
  <w:style w:type="character" w:styleId="ListLabel112">
    <w:name w:val="ListLabel 112"/>
    <w:qFormat/>
    <w:rPr>
      <w:rFonts w:cs="OpenSymbol"/>
    </w:rPr>
  </w:style>
  <w:style w:type="character" w:styleId="ListLabel113">
    <w:name w:val="ListLabel 113"/>
    <w:qFormat/>
    <w:rPr>
      <w:rFonts w:cs="OpenSymbol"/>
    </w:rPr>
  </w:style>
  <w:style w:type="character" w:styleId="ListLabel114">
    <w:name w:val="ListLabel 114"/>
    <w:qFormat/>
    <w:rPr>
      <w:rFonts w:cs="OpenSymbol"/>
    </w:rPr>
  </w:style>
  <w:style w:type="character" w:styleId="ListLabel115">
    <w:name w:val="ListLabel 115"/>
    <w:qFormat/>
    <w:rPr>
      <w:rFonts w:cs="OpenSymbol"/>
    </w:rPr>
  </w:style>
  <w:style w:type="character" w:styleId="ListLabel116">
    <w:name w:val="ListLabel 116"/>
    <w:qFormat/>
    <w:rPr>
      <w:rFonts w:cs="OpenSymbol"/>
    </w:rPr>
  </w:style>
  <w:style w:type="character" w:styleId="ListLabel117">
    <w:name w:val="ListLabel 117"/>
    <w:qFormat/>
    <w:rPr>
      <w:rFonts w:cs="OpenSymbol"/>
    </w:rPr>
  </w:style>
  <w:style w:type="character" w:styleId="ListLabel118">
    <w:name w:val="ListLabel 118"/>
    <w:qFormat/>
    <w:rPr>
      <w:rFonts w:cs="OpenSymbol"/>
    </w:rPr>
  </w:style>
  <w:style w:type="character" w:styleId="ListLabel119">
    <w:name w:val="ListLabel 119"/>
    <w:qFormat/>
    <w:rPr>
      <w:rFonts w:cs="OpenSymbol"/>
    </w:rPr>
  </w:style>
  <w:style w:type="character" w:styleId="ListLabel120">
    <w:name w:val="ListLabel 120"/>
    <w:qFormat/>
    <w:rPr>
      <w:rFonts w:cs="OpenSymbol"/>
    </w:rPr>
  </w:style>
  <w:style w:type="character" w:styleId="ListLabel121">
    <w:name w:val="ListLabel 121"/>
    <w:qFormat/>
    <w:rPr>
      <w:rFonts w:cs="OpenSymbol"/>
    </w:rPr>
  </w:style>
  <w:style w:type="character" w:styleId="ListLabel122">
    <w:name w:val="ListLabel 122"/>
    <w:qFormat/>
    <w:rPr>
      <w:rFonts w:cs="OpenSymbol"/>
    </w:rPr>
  </w:style>
  <w:style w:type="character" w:styleId="ListLabel123">
    <w:name w:val="ListLabel 123"/>
    <w:qFormat/>
    <w:rPr>
      <w:rFonts w:cs="OpenSymbol"/>
    </w:rPr>
  </w:style>
  <w:style w:type="character" w:styleId="ListLabel124">
    <w:name w:val="ListLabel 124"/>
    <w:qFormat/>
    <w:rPr>
      <w:rFonts w:cs="OpenSymbol"/>
    </w:rPr>
  </w:style>
  <w:style w:type="character" w:styleId="ListLabel125">
    <w:name w:val="ListLabel 125"/>
    <w:qFormat/>
    <w:rPr>
      <w:rFonts w:cs="OpenSymbol"/>
    </w:rPr>
  </w:style>
  <w:style w:type="character" w:styleId="ListLabel126">
    <w:name w:val="ListLabel 126"/>
    <w:qFormat/>
    <w:rPr>
      <w:rFonts w:cs="OpenSymbol"/>
    </w:rPr>
  </w:style>
  <w:style w:type="character" w:styleId="ListLabel127">
    <w:name w:val="ListLabel 127"/>
    <w:qFormat/>
    <w:rPr>
      <w:rFonts w:cs="OpenSymbol"/>
    </w:rPr>
  </w:style>
  <w:style w:type="character" w:styleId="ListLabel128">
    <w:name w:val="ListLabel 128"/>
    <w:qFormat/>
    <w:rPr>
      <w:rFonts w:cs="OpenSymbol"/>
    </w:rPr>
  </w:style>
  <w:style w:type="character" w:styleId="ListLabel129">
    <w:name w:val="ListLabel 129"/>
    <w:qFormat/>
    <w:rPr>
      <w:rFonts w:cs="OpenSymbol"/>
    </w:rPr>
  </w:style>
  <w:style w:type="character" w:styleId="ListLabel130">
    <w:name w:val="ListLabel 130"/>
    <w:qFormat/>
    <w:rPr>
      <w:rFonts w:cs="OpenSymbol"/>
    </w:rPr>
  </w:style>
  <w:style w:type="character" w:styleId="ListLabel131">
    <w:name w:val="ListLabel 131"/>
    <w:qFormat/>
    <w:rPr>
      <w:rFonts w:cs="OpenSymbol"/>
    </w:rPr>
  </w:style>
  <w:style w:type="character" w:styleId="ListLabel132">
    <w:name w:val="ListLabel 132"/>
    <w:qFormat/>
    <w:rPr>
      <w:rFonts w:cs="OpenSymbol"/>
    </w:rPr>
  </w:style>
  <w:style w:type="character" w:styleId="ListLabel133">
    <w:name w:val="ListLabel 133"/>
    <w:qFormat/>
    <w:rPr>
      <w:rFonts w:cs="OpenSymbol"/>
      <w:b w:val="false"/>
      <w:sz w:val="20"/>
    </w:rPr>
  </w:style>
  <w:style w:type="character" w:styleId="ListLabel134">
    <w:name w:val="ListLabel 134"/>
    <w:qFormat/>
    <w:rPr>
      <w:rFonts w:cs="OpenSymbol"/>
    </w:rPr>
  </w:style>
  <w:style w:type="character" w:styleId="ListLabel135">
    <w:name w:val="ListLabel 135"/>
    <w:qFormat/>
    <w:rPr>
      <w:rFonts w:cs="OpenSymbol"/>
    </w:rPr>
  </w:style>
  <w:style w:type="character" w:styleId="ListLabel136">
    <w:name w:val="ListLabel 136"/>
    <w:qFormat/>
    <w:rPr>
      <w:rFonts w:cs="OpenSymbol"/>
    </w:rPr>
  </w:style>
  <w:style w:type="character" w:styleId="ListLabel137">
    <w:name w:val="ListLabel 137"/>
    <w:qFormat/>
    <w:rPr>
      <w:rFonts w:cs="OpenSymbol"/>
    </w:rPr>
  </w:style>
  <w:style w:type="character" w:styleId="ListLabel138">
    <w:name w:val="ListLabel 138"/>
    <w:qFormat/>
    <w:rPr>
      <w:rFonts w:cs="OpenSymbol"/>
    </w:rPr>
  </w:style>
  <w:style w:type="character" w:styleId="ListLabel139">
    <w:name w:val="ListLabel 139"/>
    <w:qFormat/>
    <w:rPr>
      <w:rFonts w:cs="OpenSymbol"/>
    </w:rPr>
  </w:style>
  <w:style w:type="character" w:styleId="ListLabel140">
    <w:name w:val="ListLabel 140"/>
    <w:qFormat/>
    <w:rPr>
      <w:rFonts w:cs="OpenSymbol"/>
    </w:rPr>
  </w:style>
  <w:style w:type="character" w:styleId="ListLabel141">
    <w:name w:val="ListLabel 141"/>
    <w:qFormat/>
    <w:rPr>
      <w:rFonts w:cs="OpenSymbol"/>
    </w:rPr>
  </w:style>
  <w:style w:type="character" w:styleId="ListLabel142">
    <w:name w:val="ListLabel 142"/>
    <w:qFormat/>
    <w:rPr>
      <w:rFonts w:cs="OpenSymbol"/>
    </w:rPr>
  </w:style>
  <w:style w:type="character" w:styleId="ListLabel143">
    <w:name w:val="ListLabel 143"/>
    <w:qFormat/>
    <w:rPr>
      <w:rFonts w:cs="OpenSymbol"/>
    </w:rPr>
  </w:style>
  <w:style w:type="character" w:styleId="ListLabel144">
    <w:name w:val="ListLabel 144"/>
    <w:qFormat/>
    <w:rPr>
      <w:rFonts w:cs="OpenSymbol"/>
    </w:rPr>
  </w:style>
  <w:style w:type="character" w:styleId="ListLabel145">
    <w:name w:val="ListLabel 145"/>
    <w:qFormat/>
    <w:rPr>
      <w:rFonts w:cs="OpenSymbol"/>
    </w:rPr>
  </w:style>
  <w:style w:type="character" w:styleId="ListLabel146">
    <w:name w:val="ListLabel 146"/>
    <w:qFormat/>
    <w:rPr>
      <w:rFonts w:cs="OpenSymbol"/>
    </w:rPr>
  </w:style>
  <w:style w:type="character" w:styleId="ListLabel147">
    <w:name w:val="ListLabel 147"/>
    <w:qFormat/>
    <w:rPr>
      <w:rFonts w:cs="OpenSymbol"/>
    </w:rPr>
  </w:style>
  <w:style w:type="character" w:styleId="ListLabel148">
    <w:name w:val="ListLabel 148"/>
    <w:qFormat/>
    <w:rPr>
      <w:rFonts w:cs="OpenSymbol"/>
    </w:rPr>
  </w:style>
  <w:style w:type="character" w:styleId="ListLabel149">
    <w:name w:val="ListLabel 149"/>
    <w:qFormat/>
    <w:rPr>
      <w:rFonts w:cs="OpenSymbol"/>
    </w:rPr>
  </w:style>
  <w:style w:type="character" w:styleId="ListLabel150">
    <w:name w:val="ListLabel 150"/>
    <w:qFormat/>
    <w:rPr>
      <w:rFonts w:cs="OpenSymbol"/>
    </w:rPr>
  </w:style>
  <w:style w:type="character" w:styleId="ListLabel151">
    <w:name w:val="ListLabel 151"/>
    <w:qFormat/>
    <w:rPr>
      <w:rFonts w:cs="OpenSymbol"/>
    </w:rPr>
  </w:style>
  <w:style w:type="character" w:styleId="ListLabel152">
    <w:name w:val="ListLabel 152"/>
    <w:qFormat/>
    <w:rPr>
      <w:rFonts w:cs="OpenSymbol"/>
    </w:rPr>
  </w:style>
  <w:style w:type="character" w:styleId="ListLabel153">
    <w:name w:val="ListLabel 153"/>
    <w:qFormat/>
    <w:rPr>
      <w:rFonts w:cs="OpenSymbol"/>
    </w:rPr>
  </w:style>
  <w:style w:type="character" w:styleId="ListLabel154">
    <w:name w:val="ListLabel 154"/>
    <w:qFormat/>
    <w:rPr>
      <w:rFonts w:cs="OpenSymbol"/>
    </w:rPr>
  </w:style>
  <w:style w:type="character" w:styleId="ListLabel155">
    <w:name w:val="ListLabel 155"/>
    <w:qFormat/>
    <w:rPr>
      <w:rFonts w:cs="OpenSymbol"/>
    </w:rPr>
  </w:style>
  <w:style w:type="character" w:styleId="ListLabel156">
    <w:name w:val="ListLabel 156"/>
    <w:qFormat/>
    <w:rPr>
      <w:rFonts w:cs="OpenSymbol"/>
    </w:rPr>
  </w:style>
  <w:style w:type="character" w:styleId="ListLabel157">
    <w:name w:val="ListLabel 157"/>
    <w:qFormat/>
    <w:rPr>
      <w:rFonts w:cs="OpenSymbol"/>
    </w:rPr>
  </w:style>
  <w:style w:type="character" w:styleId="ListLabel158">
    <w:name w:val="ListLabel 158"/>
    <w:qFormat/>
    <w:rPr>
      <w:rFonts w:cs="OpenSymbol"/>
    </w:rPr>
  </w:style>
  <w:style w:type="character" w:styleId="ListLabel159">
    <w:name w:val="ListLabel 159"/>
    <w:qFormat/>
    <w:rPr>
      <w:rFonts w:cs="OpenSymbol"/>
    </w:rPr>
  </w:style>
  <w:style w:type="character" w:styleId="ListLabel160">
    <w:name w:val="ListLabel 160"/>
    <w:qFormat/>
    <w:rPr>
      <w:rFonts w:cs="OpenSymbol"/>
      <w:b w:val="false"/>
      <w:sz w:val="20"/>
    </w:rPr>
  </w:style>
  <w:style w:type="character" w:styleId="ListLabel161">
    <w:name w:val="ListLabel 161"/>
    <w:qFormat/>
    <w:rPr>
      <w:rFonts w:cs="OpenSymbol"/>
    </w:rPr>
  </w:style>
  <w:style w:type="character" w:styleId="ListLabel162">
    <w:name w:val="ListLabel 162"/>
    <w:qFormat/>
    <w:rPr>
      <w:rFonts w:cs="OpenSymbol"/>
    </w:rPr>
  </w:style>
  <w:style w:type="character" w:styleId="ListLabel163">
    <w:name w:val="ListLabel 163"/>
    <w:qFormat/>
    <w:rPr>
      <w:rFonts w:cs="OpenSymbol"/>
    </w:rPr>
  </w:style>
  <w:style w:type="character" w:styleId="ListLabel164">
    <w:name w:val="ListLabel 164"/>
    <w:qFormat/>
    <w:rPr>
      <w:rFonts w:cs="OpenSymbol"/>
    </w:rPr>
  </w:style>
  <w:style w:type="character" w:styleId="ListLabel165">
    <w:name w:val="ListLabel 165"/>
    <w:qFormat/>
    <w:rPr>
      <w:rFonts w:cs="OpenSymbol"/>
    </w:rPr>
  </w:style>
  <w:style w:type="character" w:styleId="ListLabel166">
    <w:name w:val="ListLabel 166"/>
    <w:qFormat/>
    <w:rPr>
      <w:rFonts w:cs="OpenSymbol"/>
    </w:rPr>
  </w:style>
  <w:style w:type="character" w:styleId="ListLabel167">
    <w:name w:val="ListLabel 167"/>
    <w:qFormat/>
    <w:rPr>
      <w:rFonts w:cs="OpenSymbol"/>
    </w:rPr>
  </w:style>
  <w:style w:type="character" w:styleId="ListLabel168">
    <w:name w:val="ListLabel 168"/>
    <w:qFormat/>
    <w:rPr>
      <w:rFonts w:cs="OpenSymbol"/>
    </w:rPr>
  </w:style>
  <w:style w:type="character" w:styleId="ListLabel169">
    <w:name w:val="ListLabel 169"/>
    <w:qFormat/>
    <w:rPr>
      <w:rFonts w:cs="OpenSymbol"/>
    </w:rPr>
  </w:style>
  <w:style w:type="character" w:styleId="ListLabel170">
    <w:name w:val="ListLabel 170"/>
    <w:qFormat/>
    <w:rPr>
      <w:rFonts w:cs="OpenSymbol"/>
    </w:rPr>
  </w:style>
  <w:style w:type="character" w:styleId="ListLabel171">
    <w:name w:val="ListLabel 171"/>
    <w:qFormat/>
    <w:rPr>
      <w:rFonts w:cs="OpenSymbol"/>
    </w:rPr>
  </w:style>
  <w:style w:type="character" w:styleId="ListLabel172">
    <w:name w:val="ListLabel 172"/>
    <w:qFormat/>
    <w:rPr>
      <w:rFonts w:cs="OpenSymbol"/>
    </w:rPr>
  </w:style>
  <w:style w:type="character" w:styleId="ListLabel173">
    <w:name w:val="ListLabel 173"/>
    <w:qFormat/>
    <w:rPr>
      <w:rFonts w:cs="OpenSymbol"/>
    </w:rPr>
  </w:style>
  <w:style w:type="character" w:styleId="ListLabel174">
    <w:name w:val="ListLabel 174"/>
    <w:qFormat/>
    <w:rPr>
      <w:rFonts w:cs="OpenSymbol"/>
    </w:rPr>
  </w:style>
  <w:style w:type="character" w:styleId="ListLabel175">
    <w:name w:val="ListLabel 175"/>
    <w:qFormat/>
    <w:rPr>
      <w:rFonts w:cs="OpenSymbol"/>
    </w:rPr>
  </w:style>
  <w:style w:type="character" w:styleId="ListLabel176">
    <w:name w:val="ListLabel 176"/>
    <w:qFormat/>
    <w:rPr>
      <w:rFonts w:cs="OpenSymbol"/>
    </w:rPr>
  </w:style>
  <w:style w:type="character" w:styleId="ListLabel177">
    <w:name w:val="ListLabel 177"/>
    <w:qFormat/>
    <w:rPr>
      <w:rFonts w:cs="OpenSymbol"/>
    </w:rPr>
  </w:style>
  <w:style w:type="character" w:styleId="ListLabel178">
    <w:name w:val="ListLabel 178"/>
    <w:qFormat/>
    <w:rPr>
      <w:rFonts w:cs="OpenSymbol"/>
    </w:rPr>
  </w:style>
  <w:style w:type="character" w:styleId="ListLabel179">
    <w:name w:val="ListLabel 179"/>
    <w:qFormat/>
    <w:rPr>
      <w:rFonts w:cs="OpenSymbol"/>
    </w:rPr>
  </w:style>
  <w:style w:type="character" w:styleId="ListLabel180">
    <w:name w:val="ListLabel 180"/>
    <w:qFormat/>
    <w:rPr>
      <w:rFonts w:cs="OpenSymbol"/>
    </w:rPr>
  </w:style>
  <w:style w:type="character" w:styleId="ListLabel181">
    <w:name w:val="ListLabel 181"/>
    <w:qFormat/>
    <w:rPr>
      <w:rFonts w:cs="OpenSymbol"/>
    </w:rPr>
  </w:style>
  <w:style w:type="character" w:styleId="ListLabel182">
    <w:name w:val="ListLabel 182"/>
    <w:qFormat/>
    <w:rPr>
      <w:rFonts w:cs="OpenSymbol"/>
    </w:rPr>
  </w:style>
  <w:style w:type="character" w:styleId="ListLabel183">
    <w:name w:val="ListLabel 183"/>
    <w:qFormat/>
    <w:rPr>
      <w:rFonts w:cs="OpenSymbol"/>
    </w:rPr>
  </w:style>
  <w:style w:type="character" w:styleId="ListLabel184">
    <w:name w:val="ListLabel 184"/>
    <w:qFormat/>
    <w:rPr>
      <w:rFonts w:cs="OpenSymbol"/>
    </w:rPr>
  </w:style>
  <w:style w:type="character" w:styleId="ListLabel185">
    <w:name w:val="ListLabel 185"/>
    <w:qFormat/>
    <w:rPr>
      <w:rFonts w:cs="OpenSymbol"/>
    </w:rPr>
  </w:style>
  <w:style w:type="character" w:styleId="ListLabel186">
    <w:name w:val="ListLabel 186"/>
    <w:qFormat/>
    <w:rPr>
      <w:rFonts w:cs="OpenSymbol"/>
    </w:rPr>
  </w:style>
  <w:style w:type="character" w:styleId="ListLabel187">
    <w:name w:val="ListLabel 187"/>
    <w:qFormat/>
    <w:rPr>
      <w:rFonts w:cs="OpenSymbol"/>
      <w:b w:val="false"/>
      <w:sz w:val="20"/>
    </w:rPr>
  </w:style>
  <w:style w:type="character" w:styleId="ListLabel188">
    <w:name w:val="ListLabel 188"/>
    <w:qFormat/>
    <w:rPr>
      <w:rFonts w:cs="OpenSymbol"/>
    </w:rPr>
  </w:style>
  <w:style w:type="character" w:styleId="ListLabel189">
    <w:name w:val="ListLabel 189"/>
    <w:qFormat/>
    <w:rPr>
      <w:rFonts w:cs="OpenSymbol"/>
    </w:rPr>
  </w:style>
  <w:style w:type="character" w:styleId="ListLabel190">
    <w:name w:val="ListLabel 190"/>
    <w:qFormat/>
    <w:rPr>
      <w:rFonts w:cs="OpenSymbol"/>
    </w:rPr>
  </w:style>
  <w:style w:type="character" w:styleId="ListLabel191">
    <w:name w:val="ListLabel 191"/>
    <w:qFormat/>
    <w:rPr>
      <w:rFonts w:cs="OpenSymbol"/>
    </w:rPr>
  </w:style>
  <w:style w:type="character" w:styleId="ListLabel192">
    <w:name w:val="ListLabel 192"/>
    <w:qFormat/>
    <w:rPr>
      <w:rFonts w:cs="OpenSymbol"/>
    </w:rPr>
  </w:style>
  <w:style w:type="character" w:styleId="ListLabel193">
    <w:name w:val="ListLabel 193"/>
    <w:qFormat/>
    <w:rPr>
      <w:rFonts w:cs="OpenSymbol"/>
    </w:rPr>
  </w:style>
  <w:style w:type="character" w:styleId="ListLabel194">
    <w:name w:val="ListLabel 194"/>
    <w:qFormat/>
    <w:rPr>
      <w:rFonts w:cs="OpenSymbol"/>
    </w:rPr>
  </w:style>
  <w:style w:type="character" w:styleId="ListLabel195">
    <w:name w:val="ListLabel 195"/>
    <w:qFormat/>
    <w:rPr>
      <w:rFonts w:cs="OpenSymbol"/>
    </w:rPr>
  </w:style>
  <w:style w:type="character" w:styleId="ListLabel196">
    <w:name w:val="ListLabel 196"/>
    <w:qFormat/>
    <w:rPr>
      <w:rFonts w:cs="OpenSymbol"/>
    </w:rPr>
  </w:style>
  <w:style w:type="character" w:styleId="ListLabel197">
    <w:name w:val="ListLabel 197"/>
    <w:qFormat/>
    <w:rPr>
      <w:rFonts w:cs="OpenSymbol"/>
    </w:rPr>
  </w:style>
  <w:style w:type="character" w:styleId="ListLabel198">
    <w:name w:val="ListLabel 198"/>
    <w:qFormat/>
    <w:rPr>
      <w:rFonts w:cs="OpenSymbol"/>
    </w:rPr>
  </w:style>
  <w:style w:type="character" w:styleId="ListLabel199">
    <w:name w:val="ListLabel 199"/>
    <w:qFormat/>
    <w:rPr>
      <w:rFonts w:cs="OpenSymbol"/>
    </w:rPr>
  </w:style>
  <w:style w:type="character" w:styleId="ListLabel200">
    <w:name w:val="ListLabel 200"/>
    <w:qFormat/>
    <w:rPr>
      <w:rFonts w:cs="OpenSymbol"/>
    </w:rPr>
  </w:style>
  <w:style w:type="character" w:styleId="ListLabel201">
    <w:name w:val="ListLabel 201"/>
    <w:qFormat/>
    <w:rPr>
      <w:rFonts w:cs="OpenSymbol"/>
    </w:rPr>
  </w:style>
  <w:style w:type="character" w:styleId="ListLabel202">
    <w:name w:val="ListLabel 202"/>
    <w:qFormat/>
    <w:rPr>
      <w:rFonts w:cs="OpenSymbol"/>
    </w:rPr>
  </w:style>
  <w:style w:type="character" w:styleId="ListLabel203">
    <w:name w:val="ListLabel 203"/>
    <w:qFormat/>
    <w:rPr>
      <w:rFonts w:cs="OpenSymbol"/>
    </w:rPr>
  </w:style>
  <w:style w:type="character" w:styleId="ListLabel204">
    <w:name w:val="ListLabel 204"/>
    <w:qFormat/>
    <w:rPr>
      <w:rFonts w:cs="OpenSymbol"/>
    </w:rPr>
  </w:style>
  <w:style w:type="character" w:styleId="ListLabel205">
    <w:name w:val="ListLabel 205"/>
    <w:qFormat/>
    <w:rPr>
      <w:rFonts w:cs="OpenSymbol"/>
    </w:rPr>
  </w:style>
  <w:style w:type="character" w:styleId="ListLabel206">
    <w:name w:val="ListLabel 206"/>
    <w:qFormat/>
    <w:rPr>
      <w:rFonts w:cs="OpenSymbol"/>
    </w:rPr>
  </w:style>
  <w:style w:type="character" w:styleId="ListLabel207">
    <w:name w:val="ListLabel 207"/>
    <w:qFormat/>
    <w:rPr>
      <w:rFonts w:cs="OpenSymbol"/>
    </w:rPr>
  </w:style>
  <w:style w:type="character" w:styleId="ListLabel208">
    <w:name w:val="ListLabel 208"/>
    <w:qFormat/>
    <w:rPr>
      <w:rFonts w:cs="OpenSymbol"/>
    </w:rPr>
  </w:style>
  <w:style w:type="character" w:styleId="ListLabel209">
    <w:name w:val="ListLabel 209"/>
    <w:qFormat/>
    <w:rPr>
      <w:rFonts w:cs="OpenSymbol"/>
    </w:rPr>
  </w:style>
  <w:style w:type="character" w:styleId="ListLabel210">
    <w:name w:val="ListLabel 210"/>
    <w:qFormat/>
    <w:rPr>
      <w:rFonts w:cs="OpenSymbol"/>
    </w:rPr>
  </w:style>
  <w:style w:type="character" w:styleId="ListLabel211">
    <w:name w:val="ListLabel 211"/>
    <w:qFormat/>
    <w:rPr>
      <w:rFonts w:cs="OpenSymbol"/>
    </w:rPr>
  </w:style>
  <w:style w:type="character" w:styleId="ListLabel212">
    <w:name w:val="ListLabel 212"/>
    <w:qFormat/>
    <w:rPr>
      <w:rFonts w:cs="OpenSymbol"/>
    </w:rPr>
  </w:style>
  <w:style w:type="character" w:styleId="ListLabel213">
    <w:name w:val="ListLabel 213"/>
    <w:qFormat/>
    <w:rPr>
      <w:rFonts w:cs="OpenSymbol"/>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zeile">
    <w:name w:val="Header"/>
    <w:basedOn w:val="Normal"/>
    <w:link w:val="KopfzeileZchn"/>
    <w:uiPriority w:val="99"/>
    <w:rsid w:val="00a919fc"/>
    <w:pPr>
      <w:tabs>
        <w:tab w:val="clear" w:pos="709"/>
        <w:tab w:val="center" w:pos="4536" w:leader="none"/>
        <w:tab w:val="right" w:pos="9072" w:leader="none"/>
      </w:tabs>
    </w:pPr>
    <w:rPr/>
  </w:style>
  <w:style w:type="paragraph" w:styleId="Fuzeile">
    <w:name w:val="Footer"/>
    <w:basedOn w:val="Normal"/>
    <w:rsid w:val="00a919fc"/>
    <w:pPr>
      <w:tabs>
        <w:tab w:val="clear" w:pos="709"/>
        <w:tab w:val="center" w:pos="4536" w:leader="none"/>
        <w:tab w:val="right" w:pos="9072" w:leader="none"/>
      </w:tabs>
    </w:pPr>
    <w:rPr/>
  </w:style>
  <w:style w:type="paragraph" w:styleId="ListParagraph">
    <w:name w:val="List Paragraph"/>
    <w:basedOn w:val="Normal"/>
    <w:uiPriority w:val="34"/>
    <w:qFormat/>
    <w:rsid w:val="003d53cb"/>
    <w:pPr>
      <w:ind w:left="708" w:hanging="0"/>
    </w:pPr>
    <w:rPr/>
  </w:style>
  <w:style w:type="paragraph" w:styleId="BalloonText">
    <w:name w:val="Balloon Text"/>
    <w:basedOn w:val="Normal"/>
    <w:link w:val="SprechblasentextZchn"/>
    <w:qFormat/>
    <w:rsid w:val="00544f95"/>
    <w:pPr/>
    <w:rPr>
      <w:rFonts w:ascii="Tahoma" w:hAnsi="Tahoma"/>
      <w:sz w:val="16"/>
      <w:szCs w:val="16"/>
    </w:rPr>
  </w:style>
  <w:style w:type="paragraph" w:styleId="NormalWeb">
    <w:name w:val="Normal (Web)"/>
    <w:basedOn w:val="Normal"/>
    <w:uiPriority w:val="99"/>
    <w:unhideWhenUsed/>
    <w:qFormat/>
    <w:rsid w:val="00103bfe"/>
    <w:pPr>
      <w:spacing w:beforeAutospacing="1" w:afterAutospacing="1"/>
    </w:pPr>
    <w:rPr/>
  </w:style>
  <w:style w:type="paragraph" w:styleId="Annotationtext">
    <w:name w:val="annotation text"/>
    <w:basedOn w:val="Normal"/>
    <w:link w:val="KommentartextZchn"/>
    <w:qFormat/>
    <w:rsid w:val="004f3554"/>
    <w:pPr/>
    <w:rPr>
      <w:sz w:val="20"/>
      <w:szCs w:val="20"/>
    </w:rPr>
  </w:style>
  <w:style w:type="paragraph" w:styleId="Annotationsubject">
    <w:name w:val="annotation subject"/>
    <w:basedOn w:val="Annotationtext"/>
    <w:next w:val="Annotationtext"/>
    <w:link w:val="KommentarthemaZchn"/>
    <w:qFormat/>
    <w:rsid w:val="004f3554"/>
    <w:pPr/>
    <w:rPr>
      <w:bCs/>
    </w:rPr>
  </w:style>
  <w:style w:type="numbering" w:styleId="NoList" w:default="1">
    <w:name w:val="No List"/>
    <w:uiPriority w:val="99"/>
    <w:semiHidden/>
    <w:unhideWhenUsed/>
    <w:qFormat/>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table" w:customStyle="1" w:styleId="Tabellenraster">
    <w:name w:val="Tabellenraster"/>
    <w:basedOn w:val="NormaleTabelle"/>
    <w:rsid w:val="0077437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image" Target="media/image10.jpeg"/><Relationship Id="rId12" Type="http://schemas.openxmlformats.org/officeDocument/2006/relationships/footer" Target="footer1.xml"/><Relationship Id="rId13" Type="http://schemas.openxmlformats.org/officeDocument/2006/relationships/numbering" Target="numbering.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Relationship Id="rId17" Type="http://schemas.openxmlformats.org/officeDocument/2006/relationships/customXml" Target="../customXml/item1.xml"/>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E18528-C45E-454F-A6C9-9D8B802CC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Application>LibreOffice/6.1.5.2$Windows_X86_64 LibreOffice_project/90f8dcf33c87b3705e78202e3df5142b201bd805</Application>
  <Pages>3</Pages>
  <Words>626</Words>
  <Characters>4167</Characters>
  <CharactersWithSpaces>4754</CharactersWithSpaces>
  <Paragraphs>42</Paragraphs>
  <Company>privat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2016-05-23T20:38:00Z</dcterms:created>
  <dc:creator>Michael Sengstschmid</dc:creator>
  <dc:description/>
  <dc:language>de-AT</dc:language>
  <cp:lastModifiedBy/>
  <cp:lastPrinted>2021-03-28T22:54:45Z</cp:lastPrinted>
  <dcterms:modified xsi:type="dcterms:W3CDTF">2021-03-28T22:55:12Z</dcterms:modified>
  <cp:revision>14</cp:revision>
  <dc:subject/>
  <dc:title>Modulsystem Modellbahngruppe Haag</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y fmtid="{D5CDD505-2E9C-101B-9397-08002B2CF9AE}" pid="9" name="category">
    <vt:lpwstr>Modelleisenbahn HOe</vt:lpwstr>
  </property>
</Properties>
</file>